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11 de agosto de 2026.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cribado por un solo revisor con reglas explícitas y auditoría de controles positivos. Declarado como limitación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en curso, no concluida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y 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§2.7; depende del texto completo. Se reportará con la extracción definitiva. Declarado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efecto; ver §2.6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§3.5,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60 de 219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§2.7; pendiente de la extracción definitiva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S3 recoge los motivos de las etapas 1 a 3 con vocabulario cerrado; la exclusión en texto completo se producirá con la extracción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Pendiente;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Ver §2.6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§3.5; la síntesis es de estructura y reporte, no de eficacia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Pendiente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Registro de decisiones solo-anexar; toda corrección conserva la fila previa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19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CUMPLE: 6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