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Uso interno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159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219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234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159 de 159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65 de 124 (52.4 %)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bloquea la publicación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extracción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