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262; texto principal 8 680.</w:t>
      </w:r>
    </w:p>
    <w:p>
      <w:pPr>
        <w:jc w:val="both"/>
      </w:pPr>
      <w:r>
        <w:rPr>
          <w:rFonts w:ascii="Times New Roman" w:hAnsi="Times New Roman"/>
          <w:b w:val="0"/>
          <w:i/>
          <w:sz w:val="22"/>
        </w:rPr>
        <w:t>Tablas:</w:t>
      </w:r>
      <w:r>
        <w:rPr>
          <w:rFonts w:ascii="Times New Roman" w:hAnsi="Times New Roman"/>
          <w:b w:val="0"/>
          <w:i w:val="0"/>
          <w:sz w:val="22"/>
        </w:rPr>
        <w:t xml:space="preserve"> 6.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únicos;233 informes formaron 183 estudios y, al leer los textos completos, </w:t>
      </w:r>
      <w:r>
        <w:rPr>
          <w:rFonts w:ascii="Times New Roman" w:hAnsi="Times New Roman"/>
          <w:b w:val="0"/>
          <w:i/>
          <w:sz w:val="22"/>
        </w:rPr>
        <w:t>51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132</w:t>
      </w:r>
      <w:r>
        <w:rPr>
          <w:rFonts w:ascii="Times New Roman" w:hAnsi="Times New Roman"/>
          <w:b w:val="0"/>
          <w:i w:val="0"/>
          <w:sz w:val="22"/>
        </w:rPr>
        <w:t xml:space="preserve">, 90 con publicación recuperable. Casos únicos, 44,4 %; comparativos, 10,0 %; sin clase de resistencia asignable, 74,4 %. Se obtuvo el texto completo de 66 (73,3 %), y lo que falta concentra el 66,7 % de los comparativos; el criterio de idioma eliminó 35 estudios más. En 68 de los 98 brazos (69,4 %) no consta definición operativa del éxito clínico, y solo 2 reúnen diseño comparativo, numerador, denominador y definición. Descontado el que mide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35 estudios que declaran procedencia, 13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val="0"/>
          <w:i/>
          <w:sz w:val="22"/>
        </w:rPr>
        <w:t>por duplicado e independiente</w:t>
      </w:r>
      <w:r>
        <w:rPr>
          <w:rFonts w:ascii="Times New Roman" w:hAnsi="Times New Roman"/>
          <w:b w:val="0"/>
          <w:i w:val="0"/>
          <w:sz w:val="22"/>
        </w:rPr>
        <w:t xml:space="preserve"> entre los dos revisores. Un revisor extrajo los 124 estudios que entonces tenían publicación recuperable —90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pPr>
        <w:jc w:val="both"/>
      </w:pPr>
      <w:r>
        <w:rPr>
          <w:rFonts w:ascii="Times New Roman" w:hAnsi="Times New Roman"/>
          <w:b w:val="0"/>
          <w:i/>
          <w:sz w:val="22"/>
        </w:rPr>
        <w:t>Relectura dirigida tras la adjudicación.</w:t>
      </w:r>
      <w:r>
        <w:rPr>
          <w:rFonts w:ascii="Times New Roman" w:hAnsi="Times New Roman"/>
          <w:b w:val="0"/>
          <w:i w:val="0"/>
          <w:sz w:val="22"/>
        </w:rP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de octubre de 2026.</w:t>
      </w:r>
    </w:p>
    <w:p>
      <w:pPr>
        <w:jc w:val="both"/>
      </w:pPr>
      <w:r>
        <w:rPr>
          <w:rFonts w:ascii="Times New Roman" w:hAnsi="Times New Roman"/>
          <w:b w:val="0"/>
          <w:i w:val="0"/>
          <w:sz w:val="22"/>
        </w:rPr>
        <w:t>La caracterización estructural del corpus (secciones 3.1 a 3.4, tablas 1 a 4) procede de una pre-extracción sistemática desde el resumen de los 90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 y solo en aquellos cuyo texto completo se obtuvo</w:t>
      </w:r>
      <w:r>
        <w:rPr>
          <w:rFonts w:ascii="Times New Roman" w:hAnsi="Times New Roman"/>
          <w:b w:val="0"/>
          <w:i w:val="0"/>
          <w:sz w:val="22"/>
        </w:rPr>
        <w:t>: 10 de los 13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se emiten por duplicado independiente y se resuelven por consenso.</w:t>
      </w:r>
      <w:r>
        <w:rPr>
          <w:rFonts w:ascii="Times New Roman" w:hAnsi="Times New Roman"/>
          <w:b w:val="0"/>
          <w:i w:val="0"/>
          <w:sz w:val="22"/>
        </w:rPr>
        <w:t xml:space="preserve"> Cada autor evalúa por separado, con el artículo delante, y los desacuerdos se discuten uno a uno hasta acordar un juicio. La concordancia previa al consenso se reporta en la sección 3.7, igual que la de la extracción de datos (sección 2.6). Un estudio, incorporado a la evaluación después de las demás, tiene una sola lectura y se declara como tal.</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98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74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val="0"/>
          <w:i/>
          <w:sz w:val="22"/>
        </w:rPr>
        <w:t>aplicado a los 24 estudios que siguen sin texto completo, el corpus pasaría de 132 a 108 estudios, los comparativos de 9 a 3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val="0"/>
          <w:i/>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73,3 %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val="0"/>
          <w:i/>
          <w:sz w:val="22"/>
        </w:rPr>
        <w:t>51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val="0"/>
          <w:i/>
          <w:sz w:val="22"/>
        </w:rPr>
        <w:t>132 estudios</w:t>
      </w:r>
      <w:r>
        <w:rPr>
          <w:rFonts w:ascii="Times New Roman" w:hAnsi="Times New Roman"/>
          <w:b w:val="0"/>
          <w:i w:val="0"/>
          <w:sz w:val="22"/>
        </w:rPr>
        <w:t>, que agrupan 166 informes: 110 con un solo informe y 22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spacing w:before="200" w:after="100"/>
      </w:pPr>
      <w:r>
        <w:rPr>
          <w:rFonts w:ascii="Times New Roman" w:hAnsi="Times New Roman"/>
          <w:b/>
          <w:i w:val="0"/>
          <w:sz w:val="22"/>
        </w:rPr>
        <w:t>3.1.1 Los 51 estudios que el cribado admitió y que salieron después</w:t>
      </w:r>
    </w:p>
    <w:p>
      <w:pPr>
        <w:jc w:val="both"/>
      </w:pPr>
      <w:r>
        <w:rPr>
          <w:rFonts w:ascii="Times New Roman" w:hAnsi="Times New Roman"/>
          <w:b w:val="0"/>
          <w:i/>
          <w:sz w:val="22"/>
        </w:rPr>
        <w:t>Treinta y cuatro salieron al juzgarlos sobre su publicación.</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Veintinueve</w:t>
      </w:r>
      <w:r>
        <w:rPr>
          <w:rFonts w:ascii="Times New Roman" w:hAnsi="Times New Roman"/>
          <w:b w:val="0"/>
          <w:i w:val="0"/>
          <w:sz w:val="22"/>
        </w:rPr>
        <w:t xml:space="preserve"> salieron de leer su artículo. </w:t>
      </w:r>
      <w:r>
        <w:rPr>
          <w:rFonts w:ascii="Times New Roman" w:hAnsi="Times New Roman"/>
          <w:b w:val="0"/>
          <w:i/>
          <w:sz w:val="22"/>
        </w:rPr>
        <w:t>Quince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en la discusión o en la lista de referencias—; uno de ellos no nombra microorganismo alguno. Cuatro de ellos se detectaron al comprobar la clase de resistencia contra el artículo (sección 3.4), y los excluyeron los dos autores el 1 de octubre de 2026.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val="0"/>
          <w:i/>
          <w:sz w:val="22"/>
        </w:rPr>
        <w:t>cuatro restantes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27 son la otra cara de esa limitación, y son el </w:t>
      </w:r>
      <w:r>
        <w:rPr>
          <w:rFonts w:ascii="Times New Roman" w:hAnsi="Times New Roman"/>
          <w:b w:val="0"/>
          <w:i/>
          <w:sz w:val="22"/>
        </w:rPr>
        <w:t>29,0 %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29 anteriores se juzgaron sobre el artículo; estos no tienen artículo.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se quedan.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De los 132 estudios, </w:t>
      </w:r>
      <w:r>
        <w:rPr>
          <w:rFonts w:ascii="Times New Roman" w:hAnsi="Times New Roman"/>
          <w:b w:val="0"/>
          <w:i/>
          <w:sz w:val="22"/>
        </w:rPr>
        <w:t>90 tienen publicación recuperable</w:t>
      </w:r>
      <w:r>
        <w:rPr>
          <w:rFonts w:ascii="Times New Roman" w:hAnsi="Times New Roman"/>
          <w:b w:val="0"/>
          <w:i w:val="0"/>
          <w:sz w:val="22"/>
        </w:rPr>
        <w:t xml:space="preserve">: 87 artículos y 3 que solo existen como resumen de congreso. Los </w:t>
      </w:r>
      <w:r>
        <w:rPr>
          <w:rFonts w:ascii="Times New Roman" w:hAnsi="Times New Roman"/>
          <w:b w:val="0"/>
          <w:i/>
          <w:sz w:val="22"/>
        </w:rPr>
        <w:t>42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val="0"/>
          <w:i/>
          <w:sz w:val="22"/>
        </w:rPr>
        <w:t>66 de los 90 estudios recuperables (73,3 %)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val="0"/>
          <w:i/>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val="0"/>
          <w:i/>
          <w:sz w:val="22"/>
        </w:rPr>
        <w:t>no es una muestra aleatoria del conjunto</w:t>
      </w:r>
      <w:r>
        <w:rPr>
          <w:rFonts w:ascii="Times New Roman" w:hAnsi="Times New Roman"/>
          <w:b w:val="0"/>
          <w:i w:val="0"/>
          <w:sz w:val="22"/>
        </w:rPr>
        <w:t xml:space="preserve"> (Tabla 3). Contiene 6 de los 9 estudios comparativos, el </w:t>
      </w:r>
      <w:r>
        <w:rPr>
          <w:rFonts w:ascii="Times New Roman" w:hAnsi="Times New Roman"/>
          <w:b w:val="0"/>
          <w:i/>
          <w:sz w:val="22"/>
        </w:rPr>
        <w:t>66,7 %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val="0"/>
          <w:i/>
          <w:sz w:val="22"/>
        </w:rPr>
        <w:t>2016 y 2026</w:t>
      </w:r>
      <w:r>
        <w:rPr>
          <w:rFonts w:ascii="Times New Roman" w:hAnsi="Times New Roman"/>
          <w:b w:val="0"/>
          <w:i w:val="0"/>
          <w:sz w:val="22"/>
        </w:rPr>
        <w:t xml:space="preserve">, y el </w:t>
      </w:r>
      <w:r>
        <w:rPr>
          <w:rFonts w:ascii="Times New Roman" w:hAnsi="Times New Roman"/>
          <w:b w:val="0"/>
          <w:i/>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40 reportes de caso único (44,4 %)</w:t>
      </w:r>
      <w:r>
        <w:rPr>
          <w:rFonts w:ascii="Times New Roman" w:hAnsi="Times New Roman"/>
          <w:b w:val="0"/>
          <w:i w:val="0"/>
          <w:sz w:val="22"/>
        </w:rPr>
        <w:t xml:space="preserve">, 18 series de casos, 12 cohortes prospectivas, 7 ensayos aleatorizados, 2 ensayos no aleatorizados y 3 cohortes retrospectivas. Otros 8 no declaran su diseño de forma reconocible en el resumen. Los comparativos suman </w:t>
      </w:r>
      <w:r>
        <w:rPr>
          <w:rFonts w:ascii="Times New Roman" w:hAnsi="Times New Roman"/>
          <w:b w:val="0"/>
          <w:i/>
          <w:sz w:val="22"/>
        </w:rPr>
        <w:t>9 estudios, el 10,0 %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74,4 %</w:t>
      </w:r>
      <w:r>
        <w:rPr>
          <w:rFonts w:ascii="Times New Roman" w:hAnsi="Times New Roman"/>
          <w:b w:val="0"/>
          <w:i w:val="0"/>
          <w:sz w:val="22"/>
        </w:rPr>
        <w:t xml:space="preserve"> de los estudios: el 60,0 % no la menciona en absoluto y un 14,4 %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51,1 %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35,6 %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97,8 %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8 de los 98 brazos la clase queda por debajo del umbral de multirresistencia</w:t>
      </w:r>
      <w:r>
        <w:rPr>
          <w:rFonts w:ascii="Times New Roman" w:hAnsi="Times New Roman"/>
          <w:b w:val="0"/>
          <w:i w:val="0"/>
          <w:sz w:val="22"/>
        </w:rP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la permanencia de EST-106, que pasó por debajo del umbral al resolverse su clase ese mismo día, está pendiente de la firma de los dos autores. Todos se declaran aquí para que el lector pueda descontarlos.</w:t>
      </w:r>
    </w:p>
    <w:p>
      <w:pPr>
        <w:jc w:val="both"/>
      </w:pPr>
      <w:r>
        <w:rPr>
          <w:rFonts w:ascii="Times New Roman" w:hAnsi="Times New Roman"/>
          <w:b w:val="0"/>
          <w:i/>
          <w:sz w:val="22"/>
        </w:rPr>
        <w:t>La clase se comprobó después contra el artículo.</w:t>
      </w:r>
      <w:r>
        <w:rPr>
          <w:rFonts w:ascii="Times New Roman" w:hAnsi="Times New Roman"/>
          <w:b w:val="0"/>
          <w:i w:val="0"/>
          <w:sz w:val="22"/>
        </w:rP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rFonts w:ascii="Times New Roman" w:hAnsi="Times New Roman"/>
          <w:b w:val="0"/>
          <w:i/>
          <w:sz w:val="22"/>
        </w:rPr>
        <w:t>P. aeruginosa</w:t>
      </w:r>
      <w:r>
        <w:rPr>
          <w:rFonts w:ascii="Times New Roman" w:hAnsi="Times New Roman"/>
          <w:b w:val="0"/>
          <w:i w:val="0"/>
          <w:sz w:val="22"/>
        </w:rPr>
        <w:t xml:space="preserve"> tratado con fagos. Los dos autores excluyeron 4 con el código ORG (EST-009, EST-055, EST-181 y EST-208; sección 3.1.1) y mantuvieron 5, que se declaran aquí con lo que el artículo dice: en EST-152 y EST-170 la única mención de </w:t>
      </w:r>
      <w:r>
        <w:rPr>
          <w:rFonts w:ascii="Times New Roman" w:hAnsi="Times New Roman"/>
          <w:b w:val="0"/>
          <w:i/>
          <w:sz w:val="22"/>
        </w:rPr>
        <w:t>P. aeruginosa</w:t>
      </w:r>
      <w:r>
        <w:rPr>
          <w:rFonts w:ascii="Times New Roman" w:hAnsi="Times New Roman"/>
          <w:b w:val="0"/>
          <w:i w:val="0"/>
          <w:sz w:val="22"/>
        </w:rPr>
        <w:t xml:space="preserve"> es la descripción del paciente de otro estudio del corpus (EST-049 y EST-106); en EST-132 solo figura en la composición del cóctel empírico, sin desglose por organismo, y en EST-129 y EST-135 el paciente tuvo </w:t>
      </w:r>
      <w:r>
        <w:rPr>
          <w:rFonts w:ascii="Times New Roman" w:hAnsi="Times New Roman"/>
          <w:b w:val="0"/>
          <w:i/>
          <w:sz w:val="22"/>
        </w:rPr>
        <w:t>P. aeruginosa</w:t>
      </w:r>
      <w:r>
        <w:rPr>
          <w:rFonts w:ascii="Times New Roman" w:hAnsi="Times New Roman"/>
          <w:b w:val="0"/>
          <w:i w:val="0"/>
          <w:sz w:val="22"/>
        </w:rPr>
        <w:t xml:space="preserve">, pero el fago no se dirigió contra ella. Lo mismo ocurre en EST-051 y EST-096, que también se mantienen. De los 66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5 restantes son los mantenidos sin </w:t>
      </w:r>
      <w:r>
        <w:rPr>
          <w:rFonts w:ascii="Times New Roman" w:hAnsi="Times New Roman"/>
          <w:b w:val="0"/>
          <w:i/>
          <w:sz w:val="22"/>
        </w:rPr>
        <w:t>P. aeruginosa</w:t>
      </w:r>
      <w:r>
        <w:rPr>
          <w:rFonts w:ascii="Times New Roman" w:hAnsi="Times New Roman"/>
          <w:b w:val="0"/>
          <w:i w:val="0"/>
          <w:sz w:val="22"/>
        </w:rP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98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(77,6 % de los brazos) y la emergencia de resistencia al fago lo que menos (26,5 %), pese a ser el desenlace que decide si la intervención conserva su utilidad. Esos porcentajes se calculan sobre los 98 brazos, e incluyen por tanto 24 de estudios cuyo texto completo no se ha recuperado: de un artículo que no se ha podido leer no cabe afirmar que calle. Sobre los 74 brazos legibles las cifras suben —del 77,6 % al 89,2 % en eventos adversos, del 26,5 % al 35,1 % en resistencia—, y la tabla 5 da las dos columnas para que el lector distinga el silencio de la literatura del hueco documental de esta revisión. El éxito clínico, que es el que las síntesis publicadas agregan, consta con numerador y denominador en el 68,4 %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68,4 % es, sin embargo, engañoso si se lee como disponibilidad para agregar. </w:t>
      </w:r>
      <w:r>
        <w:rPr>
          <w:rFonts w:ascii="Times New Roman" w:hAnsi="Times New Roman"/>
          <w:b w:val="0"/>
          <w:i/>
          <w:sz w:val="22"/>
        </w:rPr>
        <w:t>En 68 de los 98 brazos (69,4 %) no consta una definición operativa de éxito clínico</w:t>
      </w:r>
      <w:r>
        <w:rPr>
          <w:rFonts w:ascii="Times New Roman" w:hAnsi="Times New Roman"/>
          <w:b w:val="0"/>
          <w:i w:val="0"/>
          <w:sz w:val="22"/>
        </w:rPr>
        <w:t>; sobre los 74 brazos legibles, en 44 (59,5 %). En 47 de ellos los revisores lo establecieron leyendo el artículo: 46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12 de los 98 brazos no puede clasificarse —los dos revisores acordaron «NA» en los 12—, de modo que los recuentos por diseño son suelos sobre los 86 restantes. De esos 86, </w:t>
      </w:r>
      <w:r>
        <w:rPr>
          <w:rFonts w:ascii="Times New Roman" w:hAnsi="Times New Roman"/>
          <w:b w:val="0"/>
          <w:i/>
          <w:sz w:val="22"/>
        </w:rPr>
        <w:t>7 brazos son ensayos</w:t>
      </w:r>
      <w:r>
        <w:rPr>
          <w:rFonts w:ascii="Times New Roman" w:hAnsi="Times New Roman"/>
          <w:b w:val="0"/>
          <w:i w:val="0"/>
          <w:sz w:val="22"/>
        </w:rPr>
        <w:t xml:space="preserve"> (aleatorizados o no) y </w:t>
      </w:r>
      <w:r>
        <w:rPr>
          <w:rFonts w:ascii="Times New Roman" w:hAnsi="Times New Roman"/>
          <w:b w:val="0"/>
          <w:i/>
          <w:sz w:val="22"/>
        </w:rPr>
        <w:t>9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16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98</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98 brazos de esta literatura, </w:t>
      </w:r>
      <w:r>
        <w:rPr>
          <w:rFonts w:ascii="Times New Roman" w:hAnsi="Times New Roman"/>
          <w:b w:val="0"/>
          <w:i/>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1 y de algunas preocupaciones en 2. De los 7 estudios evaluados con ROBINS-I, el juicio global es sin información para juzgar en 1 y de riesgo grave en 6. El dominio que más juicios desfavorables concentra en ROBINS-I —alto riesgo en RoB 2; grave o crítico en ROBINS-I— es «sesgo por confusión», con 6 de 7. Los dos revisores evaluaron por separado 9 de los 10 estudios evaluables y coincidieron en 55 de los 66 juicios comparables (83,3 %; kappa de Cohen 0,77). Los 11 restantes se discutieron uno a uno y se resolvieron por consenso, los 11 en la misma dirección. El estudio restante se evaluó en un cuaderno aparte y tiene una sola lectura.</w:t>
      </w:r>
    </w:p>
    <w:p>
      <w:pPr>
        <w:jc w:val="both"/>
      </w:pPr>
      <w:r>
        <w:rPr>
          <w:rFonts w:ascii="Times New Roman" w:hAnsi="Times New Roman"/>
          <w:b w:val="0"/>
          <w:i w:val="0"/>
          <w:sz w:val="22"/>
        </w:rPr>
        <w:t xml:space="preserve">La etiqueta de diseño no garantiza un grupo de comparación: de los 10 evaluables, 4 lo tienen (EST-008, EST-021, EST-108 y EST-132) y en 6 las notas firmadas del dominio 1 declaran que no lo hay. De los 4 con grupo, 3 comparan fago con ausencia de fago —EST-108 compara con y sin antibiótico dentro de los tratados con fago—, y solo 2 dan un contraste entre brazos para </w:t>
      </w:r>
      <w:r>
        <w:rPr>
          <w:rFonts w:ascii="Times New Roman" w:hAnsi="Times New Roman"/>
          <w:b w:val="0"/>
          <w:i/>
          <w:sz w:val="22"/>
        </w:rPr>
        <w:t>P. aeruginosa</w:t>
      </w:r>
      <w:r>
        <w:rPr>
          <w:rFonts w:ascii="Times New Roman" w:hAnsi="Times New Roman"/>
          <w:b w:val="0"/>
          <w:i w:val="0"/>
          <w:sz w:val="22"/>
        </w:rPr>
        <w:t xml:space="preserve"> (EST-008 y EST-021; el de EST-008, parcial): en EST-132 el artículo no desglosa por organismo.</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10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132 estudios frente a las decenas que manejan las revisiones publicadas, y habrían sido 218 sin la restricción de idioma que se adoptó al final y sin los 51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132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siete y todas materiales. </w:t>
      </w:r>
      <w:r>
        <w:rPr>
          <w:rFonts w:ascii="Times New Roman" w:hAnsi="Times New Roman"/>
          <w:b w:val="0"/>
          <w:i/>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la concordancia previa al consenso fue del 83,3 % (55 de 66 juicios; kappa de Cohen 0,77), con 11 desacuerdos resueltos todos en la misma dirección. </w:t>
      </w:r>
      <w:r>
        <w:rPr>
          <w:rFonts w:ascii="Times New Roman" w:hAnsi="Times New Roman"/>
          <w:b w:val="0"/>
          <w:i/>
          <w:sz w:val="22"/>
        </w:rPr>
        <w:t>Quinta:</w:t>
      </w:r>
      <w:r>
        <w:rPr>
          <w:rFonts w:ascii="Times New Roman" w:hAnsi="Times New Roman"/>
          <w:b w:val="0"/>
          <w:i w:val="0"/>
          <w:sz w:val="22"/>
        </w:rPr>
        <w:t xml:space="preserve"> el texto completo se obtuvo para el 73,3 % de los estudios recuperables, y la fracción faltante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rFonts w:ascii="Times New Roman" w:hAnsi="Times New Roman"/>
          <w:b w:val="0"/>
          <w:i/>
          <w:sz w:val="22"/>
        </w:rPr>
        <w:t>Séptima:</w:t>
      </w:r>
      <w:r>
        <w:rPr>
          <w:rFonts w:ascii="Times New Roman" w:hAnsi="Times New Roman"/>
          <w:b w:val="0"/>
          <w:i w:val="0"/>
          <w:sz w:val="22"/>
        </w:rPr>
        <w:t xml:space="preserve"> el corpus cuenta informes y estudios, no pacientes distintos, y contiene </w:t>
      </w:r>
      <w:r>
        <w:rPr>
          <w:rFonts w:ascii="Times New Roman" w:hAnsi="Times New Roman"/>
          <w:b w:val="0"/>
          <w:i/>
          <w:sz w:val="22"/>
        </w:rPr>
        <w:t>20 pacientes descritos en más de un estudio</w:t>
      </w:r>
      <w:r>
        <w:rPr>
          <w:rFonts w:ascii="Times New Roman" w:hAnsi="Times New Roman"/>
          <w:b w:val="0"/>
          <w:i w:val="0"/>
          <w:sz w:val="22"/>
        </w:rPr>
        <w:t xml:space="preserve">, repartidos entre 18 de los 132.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rFonts w:ascii="Times New Roman" w:hAnsi="Times New Roman"/>
          <w:b w:val="0"/>
          <w:i/>
          <w:sz w:val="22"/>
        </w:rPr>
        <w:t>7 son estudios de este corpus</w:t>
      </w:r>
      <w:r>
        <w:rPr>
          <w:rFonts w:ascii="Times New Roman" w:hAnsi="Times New Roman"/>
          <w:b w:val="0"/>
          <w:i w:val="0"/>
          <w:sz w:val="22"/>
        </w:rPr>
        <w:t xml:space="preserve"> —EST-002, EST-010, EST-016, EST-046, EST-062, EST-124 y EST-164—, que aportan 8 pacientes; a ellos se suma EST-088, publicado después, cuyo paciente coincide en infección, especies y fagos con uno de EST-108. El examen se hizo sobre los 66 textos completos y reunió 31 pares: 16 los marcó un detector por producto, país y cita, y 15 los encontró la lectura. 19 se confirmaron, 12 se descartaron y </w:t>
      </w:r>
      <w:r>
        <w:rPr>
          <w:rFonts w:ascii="Times New Roman" w:hAnsi="Times New Roman"/>
          <w:b w:val="0"/>
          <w:i/>
          <w:sz w:val="22"/>
        </w:rPr>
        <w:t>ninguno queda sin leer</w:t>
      </w:r>
      <w:r>
        <w:rPr>
          <w:rFonts w:ascii="Times New Roman" w:hAnsi="Times New Roman"/>
          <w:b w:val="0"/>
          <w:i w:val="0"/>
          <w:sz w:val="22"/>
        </w:rPr>
        <w:t>; el veredicto de cada par lleva la frase en que se apoya y la firma de los dos autores (anexo S21). Como la revisión no publica ninguna estimación agrupada, la duplicación no altera ninguna cifra de efecto, pero impide leer el corpus como 132 conjuntos disjuntos de pacientes.</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90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78.9</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40</w:t>
            </w:r>
          </w:p>
        </w:tc>
        <w:tc>
          <w:tcPr>
            <w:tcW w:type="dxa" w:w="3009"/>
          </w:tcPr>
          <w:p>
            <w:r/>
            <w:r>
              <w:rPr>
                <w:rFonts w:ascii="Times New Roman" w:hAnsi="Times New Roman"/>
                <w:b w:val="0"/>
                <w:i w:val="0"/>
                <w:sz w:val="18"/>
              </w:rPr>
              <w:t>44.4</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20.0</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12</w:t>
            </w:r>
          </w:p>
        </w:tc>
        <w:tc>
          <w:tcPr>
            <w:tcW w:type="dxa" w:w="3009"/>
          </w:tcPr>
          <w:p>
            <w:r/>
            <w:r>
              <w:rPr>
                <w:rFonts w:ascii="Times New Roman" w:hAnsi="Times New Roman"/>
                <w:b w:val="0"/>
                <w:i w:val="0"/>
                <w:sz w:val="18"/>
              </w:rPr>
              <w:t>13.3</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8.9</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7.8</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3.3</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2.2</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9</w:t>
            </w:r>
          </w:p>
        </w:tc>
        <w:tc>
          <w:tcPr>
            <w:tcW w:type="dxa" w:w="3009"/>
          </w:tcPr>
          <w:p>
            <w:r/>
            <w:r>
              <w:rPr>
                <w:rFonts w:ascii="Times New Roman" w:hAnsi="Times New Roman"/>
                <w:b w:val="0"/>
                <w:i w:val="0"/>
                <w:sz w:val="18"/>
              </w:rPr>
              <w:t>10.0</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5.6</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5.6</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3.3</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2.2</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2.2</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2.2</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2.2</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7.8</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55</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
              <w:rPr>
                <w:rFonts w:ascii="Times New Roman" w:hAnsi="Times New Roman"/>
                <w:b/>
                <w:i w:val="0"/>
                <w:sz w:val="18"/>
              </w:rPr>
              <w:t>Variable</w:t>
            </w:r>
          </w:p>
        </w:tc>
        <w:tc>
          <w:tcPr>
            <w:tcW w:type="dxa" w:w="1504"/>
          </w:tcPr>
          <w:p>
            <w:r/>
            <w:r>
              <w:rPr>
                <w:rFonts w:ascii="Times New Roman" w:hAnsi="Times New Roman"/>
                <w:b/>
                <w:i w:val="0"/>
                <w:sz w:val="18"/>
              </w:rPr>
              <w:t>No asignable en el resumen</w:t>
            </w:r>
          </w:p>
        </w:tc>
        <w:tc>
          <w:tcPr>
            <w:tcW w:type="dxa" w:w="1504"/>
          </w:tcPr>
          <w:p>
            <w:r/>
            <w:r>
              <w:rPr>
                <w:rFonts w:ascii="Times New Roman" w:hAnsi="Times New Roman"/>
                <w:b/>
                <w:i w:val="0"/>
                <w:sz w:val="18"/>
              </w:rPr>
              <w:t>Declarado en el texto completo</w:t>
            </w:r>
          </w:p>
        </w:tc>
        <w:tc>
          <w:tcPr>
            <w:tcW w:type="dxa" w:w="1504"/>
          </w:tcPr>
          <w:p>
            <w:r/>
            <w:r>
              <w:rPr>
                <w:rFonts w:ascii="Times New Roman" w:hAnsi="Times New Roman"/>
                <w:b/>
                <w:i w:val="0"/>
                <w:sz w:val="18"/>
              </w:rPr>
              <w:t>Declarado pero no clasificable</w:t>
            </w:r>
          </w:p>
        </w:tc>
        <w:tc>
          <w:tcPr>
            <w:tcW w:type="dxa" w:w="1504"/>
          </w:tcPr>
          <w:p>
            <w:r/>
            <w:r>
              <w:rPr>
                <w:rFonts w:ascii="Times New Roman" w:hAnsi="Times New Roman"/>
                <w:b/>
                <w:i w:val="0"/>
                <w:sz w:val="18"/>
              </w:rPr>
              <w:t>No declarado en el texto completo</w:t>
            </w:r>
          </w:p>
        </w:tc>
        <w:tc>
          <w:tcPr>
            <w:tcW w:type="dxa" w:w="1504"/>
          </w:tcPr>
          <w:p>
            <w:r/>
            <w:r>
              <w:rPr>
                <w:rFonts w:ascii="Times New Roman" w:hAnsi="Times New Roman"/>
                <w:b/>
                <w:i w:val="0"/>
                <w:sz w:val="18"/>
              </w:rPr>
              <w:t>Texto completo no recuperado</w:t>
            </w:r>
          </w:p>
        </w:tc>
      </w:tr>
      <w:tr>
        <w:tc>
          <w:tcPr>
            <w:tcW w:type="dxa" w:w="1504"/>
          </w:tcPr>
          <w:p>
            <w:r/>
            <w:r>
              <w:rPr>
                <w:rFonts w:ascii="Times New Roman" w:hAnsi="Times New Roman"/>
                <w:b w:val="0"/>
                <w:i w:val="0"/>
                <w:sz w:val="18"/>
              </w:rPr>
              <w:t>Clase de resistencia (MDR/XDR/PDR)</w:t>
            </w:r>
          </w:p>
        </w:tc>
        <w:tc>
          <w:tcPr>
            <w:tcW w:type="dxa" w:w="1504"/>
          </w:tcPr>
          <w:p>
            <w:r/>
            <w:r>
              <w:rPr>
                <w:rFonts w:ascii="Times New Roman" w:hAnsi="Times New Roman"/>
                <w:b w:val="0"/>
                <w:i w:val="0"/>
                <w:sz w:val="18"/>
              </w:rPr>
              <w:t>54 (60.0 %)</w:t>
            </w:r>
          </w:p>
        </w:tc>
        <w:tc>
          <w:tcPr>
            <w:tcW w:type="dxa" w:w="1504"/>
          </w:tcPr>
          <w:p>
            <w:r/>
            <w:r>
              <w:rPr>
                <w:rFonts w:ascii="Times New Roman" w:hAnsi="Times New Roman"/>
                <w:b w:val="0"/>
                <w:i w:val="0"/>
                <w:sz w:val="18"/>
              </w:rPr>
              <w:t>51</w:t>
            </w:r>
          </w:p>
        </w:tc>
        <w:tc>
          <w:tcPr>
            <w:tcW w:type="dxa" w:w="1504"/>
          </w:tcPr>
          <w:p>
            <w:r/>
            <w:r>
              <w:rPr>
                <w:rFonts w:ascii="Times New Roman" w:hAnsi="Times New Roman"/>
                <w:b w:val="0"/>
                <w:i w:val="0"/>
                <w:sz w:val="18"/>
              </w:rPr>
              <w:t>15</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504"/>
          </w:tcPr>
          <w:p>
            <w:r/>
            <w:r>
              <w:rPr>
                <w:rFonts w:ascii="Times New Roman" w:hAnsi="Times New Roman"/>
                <w:b w:val="0"/>
                <w:i w:val="0"/>
                <w:sz w:val="18"/>
              </w:rPr>
              <w:t>32 (35.6 %)</w:t>
            </w:r>
          </w:p>
        </w:tc>
        <w:tc>
          <w:tcPr>
            <w:tcW w:type="dxa" w:w="1504"/>
          </w:tcPr>
          <w:p>
            <w:r/>
            <w:r>
              <w:rPr>
                <w:rFonts w:ascii="Times New Roman" w:hAnsi="Times New Roman"/>
                <w:b w:val="0"/>
                <w:i w:val="0"/>
                <w:sz w:val="18"/>
              </w:rPr>
              <w:t>61</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5</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Vía de administración del fago</w:t>
            </w:r>
          </w:p>
        </w:tc>
        <w:tc>
          <w:tcPr>
            <w:tcW w:type="dxa" w:w="1504"/>
          </w:tcPr>
          <w:p>
            <w:r/>
            <w:r>
              <w:rPr>
                <w:rFonts w:ascii="Times New Roman" w:hAnsi="Times New Roman"/>
                <w:b w:val="0"/>
                <w:i w:val="0"/>
                <w:sz w:val="18"/>
              </w:rPr>
              <w:t>46 (51.1 %)</w:t>
            </w:r>
          </w:p>
        </w:tc>
        <w:tc>
          <w:tcPr>
            <w:tcW w:type="dxa" w:w="1504"/>
          </w:tcPr>
          <w:p>
            <w:r/>
            <w:r>
              <w:rPr>
                <w:rFonts w:ascii="Times New Roman" w:hAnsi="Times New Roman"/>
                <w:b w:val="0"/>
                <w:i w:val="0"/>
                <w:sz w:val="18"/>
              </w:rPr>
              <w:t>65</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1</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Modalidad (monoterapia o combinada)</w:t>
            </w:r>
          </w:p>
        </w:tc>
        <w:tc>
          <w:tcPr>
            <w:tcW w:type="dxa" w:w="1504"/>
          </w:tcPr>
          <w:p>
            <w:r/>
            <w:r>
              <w:rPr>
                <w:rFonts w:ascii="Times New Roman" w:hAnsi="Times New Roman"/>
                <w:b w:val="0"/>
                <w:i w:val="0"/>
                <w:sz w:val="18"/>
              </w:rPr>
              <w:t>57 (63.3 %)</w:t>
            </w:r>
          </w:p>
        </w:tc>
        <w:tc>
          <w:tcPr>
            <w:tcW w:type="dxa" w:w="1504"/>
          </w:tcPr>
          <w:p>
            <w:r/>
            <w:r>
              <w:rPr>
                <w:rFonts w:ascii="Times New Roman" w:hAnsi="Times New Roman"/>
                <w:b w:val="0"/>
                <w:i w:val="0"/>
                <w:sz w:val="18"/>
              </w:rPr>
              <w:t>65</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1</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504"/>
          </w:tcPr>
          <w:p>
            <w:r/>
            <w:r>
              <w:rPr>
                <w:rFonts w:ascii="Times New Roman" w:hAnsi="Times New Roman"/>
                <w:b w:val="0"/>
                <w:i w:val="0"/>
                <w:sz w:val="18"/>
              </w:rPr>
              <w:t>88 (97.8 %)</w:t>
            </w:r>
          </w:p>
        </w:tc>
        <w:tc>
          <w:tcPr>
            <w:tcW w:type="dxa" w:w="1504"/>
          </w:tcPr>
          <w:p>
            <w:r/>
            <w:r>
              <w:rPr>
                <w:rFonts w:ascii="Times New Roman" w:hAnsi="Times New Roman"/>
                <w:b w:val="0"/>
                <w:i w:val="0"/>
                <w:sz w:val="18"/>
              </w:rPr>
              <w:t>64</w:t>
            </w:r>
          </w:p>
        </w:tc>
        <w:tc>
          <w:tcPr>
            <w:tcW w:type="dxa" w:w="1504"/>
          </w:tcPr>
          <w:p>
            <w:r/>
            <w:r>
              <w:rPr>
                <w:rFonts w:ascii="Times New Roman" w:hAnsi="Times New Roman"/>
                <w:b w:val="0"/>
                <w:i w:val="0"/>
                <w:sz w:val="18"/>
              </w:rPr>
              <w:t>2</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24</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66</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4.5</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424</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98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98 brazos</w:t>
            </w:r>
          </w:p>
        </w:tc>
        <w:tc>
          <w:tcPr>
            <w:tcW w:type="dxa" w:w="1805"/>
          </w:tcPr>
          <w:p>
            <w:r/>
            <w:r>
              <w:rPr>
                <w:rFonts w:ascii="Times New Roman" w:hAnsi="Times New Roman"/>
                <w:b/>
                <w:i w:val="0"/>
                <w:sz w:val="18"/>
              </w:rPr>
              <w:t>% de los 74 brazos legibles</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67</w:t>
            </w:r>
          </w:p>
        </w:tc>
        <w:tc>
          <w:tcPr>
            <w:tcW w:type="dxa" w:w="1805"/>
          </w:tcPr>
          <w:p>
            <w:r/>
            <w:r>
              <w:rPr>
                <w:rFonts w:ascii="Times New Roman" w:hAnsi="Times New Roman"/>
                <w:b w:val="0"/>
                <w:i w:val="0"/>
                <w:sz w:val="18"/>
              </w:rPr>
              <w:t>68.4</w:t>
            </w:r>
          </w:p>
        </w:tc>
        <w:tc>
          <w:tcPr>
            <w:tcW w:type="dxa" w:w="1805"/>
          </w:tcPr>
          <w:p>
            <w:r/>
            <w:r>
              <w:rPr>
                <w:rFonts w:ascii="Times New Roman" w:hAnsi="Times New Roman"/>
                <w:b w:val="0"/>
                <w:i w:val="0"/>
                <w:sz w:val="18"/>
              </w:rPr>
              <w:t>87.8</w:t>
            </w:r>
          </w:p>
        </w:tc>
        <w:tc>
          <w:tcPr>
            <w:tcW w:type="dxa" w:w="1805"/>
          </w:tcPr>
          <w:p>
            <w:r/>
            <w:r>
              <w:rPr>
                <w:rFonts w:ascii="Times New Roman" w:hAnsi="Times New Roman"/>
                <w:b w:val="0"/>
                <w:i w:val="0"/>
                <w:sz w:val="18"/>
              </w:rPr>
              <w:t>98.5</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54</w:t>
            </w:r>
          </w:p>
        </w:tc>
        <w:tc>
          <w:tcPr>
            <w:tcW w:type="dxa" w:w="1805"/>
          </w:tcPr>
          <w:p>
            <w:r/>
            <w:r>
              <w:rPr>
                <w:rFonts w:ascii="Times New Roman" w:hAnsi="Times New Roman"/>
                <w:b w:val="0"/>
                <w:i w:val="0"/>
                <w:sz w:val="18"/>
              </w:rPr>
              <w:t>55.1</w:t>
            </w:r>
          </w:p>
        </w:tc>
        <w:tc>
          <w:tcPr>
            <w:tcW w:type="dxa" w:w="1805"/>
          </w:tcPr>
          <w:p>
            <w:r/>
            <w:r>
              <w:rPr>
                <w:rFonts w:ascii="Times New Roman" w:hAnsi="Times New Roman"/>
                <w:b w:val="0"/>
                <w:i w:val="0"/>
                <w:sz w:val="18"/>
              </w:rPr>
              <w:t>71.6</w:t>
            </w:r>
          </w:p>
        </w:tc>
        <w:tc>
          <w:tcPr>
            <w:tcW w:type="dxa" w:w="1805"/>
          </w:tcPr>
          <w:p>
            <w:r/>
            <w:r>
              <w:rPr>
                <w:rFonts w:ascii="Times New Roman" w:hAnsi="Times New Roman"/>
                <w:b w:val="0"/>
                <w:i w:val="0"/>
                <w:sz w:val="18"/>
              </w:rPr>
              <w:t>100.0</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72.4</w:t>
            </w:r>
          </w:p>
        </w:tc>
        <w:tc>
          <w:tcPr>
            <w:tcW w:type="dxa" w:w="1805"/>
          </w:tcPr>
          <w:p>
            <w:r/>
            <w:r>
              <w:rPr>
                <w:rFonts w:ascii="Times New Roman" w:hAnsi="Times New Roman"/>
                <w:b w:val="0"/>
                <w:i w:val="0"/>
                <w:sz w:val="18"/>
              </w:rPr>
              <w:t>90.5</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76</w:t>
            </w:r>
          </w:p>
        </w:tc>
        <w:tc>
          <w:tcPr>
            <w:tcW w:type="dxa" w:w="1805"/>
          </w:tcPr>
          <w:p>
            <w:r/>
            <w:r>
              <w:rPr>
                <w:rFonts w:ascii="Times New Roman" w:hAnsi="Times New Roman"/>
                <w:b w:val="0"/>
                <w:i w:val="0"/>
                <w:sz w:val="18"/>
              </w:rPr>
              <w:t>77.6</w:t>
            </w:r>
          </w:p>
        </w:tc>
        <w:tc>
          <w:tcPr>
            <w:tcW w:type="dxa" w:w="1805"/>
          </w:tcPr>
          <w:p>
            <w:r/>
            <w:r>
              <w:rPr>
                <w:rFonts w:ascii="Times New Roman" w:hAnsi="Times New Roman"/>
                <w:b w:val="0"/>
                <w:i w:val="0"/>
                <w:sz w:val="18"/>
              </w:rPr>
              <w:t>89.2</w:t>
            </w:r>
          </w:p>
        </w:tc>
        <w:tc>
          <w:tcPr>
            <w:tcW w:type="dxa" w:w="1805"/>
          </w:tcPr>
          <w:p>
            <w:r/>
            <w:r>
              <w:rPr>
                <w:rFonts w:ascii="Times New Roman" w:hAnsi="Times New Roman"/>
                <w:b w:val="0"/>
                <w:i w:val="0"/>
                <w:sz w:val="18"/>
              </w:rPr>
              <w:t>100.0</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26</w:t>
            </w:r>
          </w:p>
        </w:tc>
        <w:tc>
          <w:tcPr>
            <w:tcW w:type="dxa" w:w="1805"/>
          </w:tcPr>
          <w:p>
            <w:r/>
            <w:r>
              <w:rPr>
                <w:rFonts w:ascii="Times New Roman" w:hAnsi="Times New Roman"/>
                <w:b w:val="0"/>
                <w:i w:val="0"/>
                <w:sz w:val="18"/>
              </w:rPr>
              <w:t>26.5</w:t>
            </w:r>
          </w:p>
        </w:tc>
        <w:tc>
          <w:tcPr>
            <w:tcW w:type="dxa" w:w="1805"/>
          </w:tcPr>
          <w:p>
            <w:r/>
            <w:r>
              <w:rPr>
                <w:rFonts w:ascii="Times New Roman" w:hAnsi="Times New Roman"/>
                <w:b w:val="0"/>
                <w:i w:val="0"/>
                <w:sz w:val="18"/>
              </w:rPr>
              <w:t>35.1</w:t>
            </w:r>
          </w:p>
        </w:tc>
        <w:tc>
          <w:tcPr>
            <w:tcW w:type="dxa" w:w="1805"/>
          </w:tcPr>
          <w:p>
            <w:r/>
            <w:r>
              <w:rPr>
                <w:rFonts w:ascii="Times New Roman" w:hAnsi="Times New Roman"/>
                <w:b w:val="0"/>
                <w:i w:val="0"/>
                <w:sz w:val="18"/>
              </w:rPr>
              <w:t>57.7</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98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98</w:t>
            </w:r>
          </w:p>
        </w:tc>
        <w:tc>
          <w:tcPr>
            <w:tcW w:type="dxa" w:w="3009"/>
          </w:tcPr>
          <w:p>
            <w:r/>
            <w:r>
              <w:rPr>
                <w:rFonts w:ascii="Times New Roman" w:hAnsi="Times New Roman"/>
                <w:b w:val="0"/>
                <w:i w:val="0"/>
                <w:sz w:val="18"/>
              </w:rPr>
              <w:t>98 (90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16</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67 (63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 (20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19 (16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val="0"/>
          <w:i/>
          <w:sz w:val="18"/>
        </w:rPr>
        <w:t>Figura 2. Composición del cuerpo de evidencia recuperable (n = 90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90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cuándo.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90 estudios con publicación recuperable,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132 estudios con su situación y sus informes agrupados, y de los 51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51 estudios que el cribado admitió y el texto completo desmintió, con su código de motivo y la frase del artículo que lo sostiene.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98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74 juicios de riesgo de sesgo, uno por fila, con la frase firmada en que se apoya cada uno.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del artículo cosechadas por tema, que acompañan pero no sustituyen a la firmada.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verificaron los autores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98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31 pares de estudios que podían describir a los mismos pacientes, con la señal que los marcó, el veredicto tras leer los dos artículos, los pacientes compartidos y la frase firmada en que se apoya.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S23.</w:t>
      </w:r>
      <w:r>
        <w:rPr>
          <w:rFonts w:ascii="Times New Roman" w:hAnsi="Times New Roman"/>
          <w:b w:val="0"/>
          <w:i w:val="0"/>
          <w:sz w:val="22"/>
        </w:rPr>
        <w:t xml:space="preserve"> La clase de resistencia de los 70 estudios que tenían texto completo, comprobada contra el antibiograma del artículo: la conclusión firmada, la frase o la tabla en que se apoya, cómo se codificó y qué cambió en la extracción.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S24.</w:t>
      </w:r>
      <w:r>
        <w:rPr>
          <w:rFonts w:ascii="Times New Roman" w:hAnsi="Times New Roman"/>
          <w:b w:val="0"/>
          <w:i w:val="0"/>
          <w:sz w:val="22"/>
        </w:rPr>
        <w:t xml:space="preserve"> Los 14 estudios con diseño comparativo, reextraídos: comparador, asignación, tiempo cero, tiempo de evaluación, cointervenciones, pérdidas, estimando y si hay un contraste para </w:t>
      </w:r>
      <w:r>
        <w:rPr>
          <w:rFonts w:ascii="Times New Roman" w:hAnsi="Times New Roman"/>
          <w:b w:val="0"/>
          <w:i/>
          <w:sz w:val="22"/>
        </w:rPr>
        <w:t>P. aeruginosa</w:t>
      </w:r>
      <w:r>
        <w:rPr>
          <w:rFonts w:ascii="Times New Roman" w:hAnsi="Times New Roman"/>
          <w:b w:val="0"/>
          <w:i w:val="0"/>
          <w:sz w:val="22"/>
        </w:rPr>
        <w:t>.</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