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i w:val="0"/>
          <w:sz w:val="30"/>
        </w:rPr>
        <w:t>Resumen estructurado</w:t>
      </w:r>
    </w:p>
    <w:p>
      <w:pPr>
        <w:jc w:val="both"/>
      </w:pPr>
      <w:r>
        <w:rPr>
          <w:rFonts w:ascii="Times New Roman" w:hAnsi="Times New Roman"/>
          <w:b w:val="0"/>
          <w:i w:val="0"/>
          <w:sz w:val="22"/>
        </w:rPr>
        <w:t>Normas de la revista comprobadas aquí: resumen de 250 palabras como máximo —contadas como las cuenta Word, etiquetas y signos «%» incluidos—, entre 3 y 5 palabras clave, en los dos idiomas.</w:t>
      </w:r>
    </w:p>
    <w:p>
      <w:pPr>
        <w:spacing w:before="280" w:after="40"/>
      </w:pPr>
      <w:r>
        <w:rPr>
          <w:rFonts w:ascii="Times New Roman" w:hAnsi="Times New Roman"/>
          <w:b/>
          <w:i w:val="0"/>
          <w:sz w:val="24"/>
        </w:rPr>
        <w:t>Resumen estructurado (español) — 257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Introducción.</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w:t>
      </w:r>
    </w:p>
    <w:p>
      <w:pPr>
        <w:jc w:val="both"/>
      </w:pPr>
      <w:r>
        <w:rPr>
          <w:rFonts w:ascii="Times New Roman" w:hAnsi="Times New Roman"/>
          <w:b w:val="0"/>
          <w:i/>
          <w:sz w:val="22"/>
        </w:rPr>
        <w:t>Objetivo.</w:t>
      </w:r>
      <w:r>
        <w:rPr>
          <w:rFonts w:ascii="Times New Roman" w:hAnsi="Times New Roman"/>
          <w:b w:val="0"/>
          <w:i w:val="0"/>
          <w:sz w:val="22"/>
        </w:rPr>
        <w:t xml:space="preserve"> Delimitar la evidencia clínica disponible y determinar si su estructura y reporte admiten una síntesis cuantitativa de eficacia.</w:t>
      </w:r>
    </w:p>
    <w:p>
      <w:pPr>
        <w:jc w:val="both"/>
      </w:pPr>
      <w:r>
        <w:rPr>
          <w:rFonts w:ascii="Times New Roman" w:hAnsi="Times New Roman"/>
          <w:b w:val="0"/>
          <w:i/>
          <w:sz w:val="22"/>
        </w:rPr>
        <w:t>Metodología.</w:t>
      </w:r>
      <w:r>
        <w:rPr>
          <w:rFonts w:ascii="Times New Roman" w:hAnsi="Times New Roman"/>
          <w:b w:val="0"/>
          <w:i w:val="0"/>
          <w:sz w:val="22"/>
        </w:rPr>
        <w:t xml:space="preserve"> Revisión sistemática conforme a PRISMA 2020, en dos corrientes: bases bibliográficas y registros de ensayos. Ocho fuentes, con ventana 2016-2026 donde la interfaz la admite. La unidad de inclusión fue el estudio, no el informe. Extracción por duplicado e independiente, con 539 de 541 desacuerdos adjudicados por consenso. El riesgo de sesgo se evaluó por consenso, por dominios, en los 10 comparativos con texto completo (RoB 2, ROBINS-I); no se aplicó GRADE.</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evaluados para elegibilidad, de los que 51 se excluyeron: 27 por el artículo, 17 por la ficha del registro y 7 sin poder leer ninguno. Quedan 132 estudios, 90 con publicación recuperable y 66 con texto obtenido (73,3 %). De esos 90, el 44,4 % son reportes de caso único y el 10,0 % tiene diseño comparativo; la categoría de resistencia no puede asignarse desde el resumen en el 74,4 %. En 68 de 98 brazos extraídos (69,4 %) no consta una definición operativa de éxito clínico. Ningún brazo reúne los requisitos aritméticos de una proporción agrupada y los de elegibilidad.</w:t>
      </w:r>
    </w:p>
    <w:p>
      <w:pPr>
        <w:jc w:val="both"/>
      </w:pPr>
      <w:r>
        <w:rPr>
          <w:rFonts w:ascii="Times New Roman" w:hAnsi="Times New Roman"/>
          <w:b w:val="0"/>
          <w:i/>
          <w:sz w:val="22"/>
        </w:rPr>
        <w:t>Conclusiones.</w:t>
      </w:r>
      <w:r>
        <w:rPr>
          <w:rFonts w:ascii="Times New Roman" w:hAnsi="Times New Roman"/>
          <w:b w:val="0"/>
          <w:i w:val="0"/>
          <w:sz w:val="22"/>
        </w:rPr>
        <w:t xml:space="preserve">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Structured abstract (English) — 259 palabras</w:t>
      </w:r>
    </w:p>
    <w:p>
      <w:pPr>
        <w:spacing w:after="140" w:line="240" w:lineRule="auto"/>
      </w:pPr>
      <w:r>
        <w:rPr>
          <w:rFonts w:ascii="Times New Roman" w:hAnsi="Times New Roman"/>
          <w:i/>
          <w:color w:val="555555"/>
          <w:sz w:val="18"/>
        </w:rPr>
        <w:t>No se envía. Versión por etiquetas, de referencia.</w:t>
      </w:r>
    </w:p>
    <w:p>
      <w:pPr>
        <w:jc w:val="both"/>
      </w:pPr>
      <w:r>
        <w:rPr>
          <w:rFonts w:ascii="Times New Roman" w:hAnsi="Times New Roman"/>
          <w:b w:val="0"/>
          <w:i/>
          <w:sz w:val="22"/>
        </w:rPr>
        <w:t>Introduction.</w:t>
      </w:r>
      <w:r>
        <w:rPr>
          <w:rFonts w:ascii="Times New Roman" w:hAnsi="Times New Roman"/>
          <w:b w:val="0"/>
          <w:i w:val="0"/>
          <w:sz w:val="22"/>
        </w:rPr>
        <w:t xml:space="preserve"> 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w:t>
      </w:r>
    </w:p>
    <w:p>
      <w:pPr>
        <w:jc w:val="both"/>
      </w:pPr>
      <w:r>
        <w:rPr>
          <w:rFonts w:ascii="Times New Roman" w:hAnsi="Times New Roman"/>
          <w:b w:val="0"/>
          <w:i/>
          <w:sz w:val="22"/>
        </w:rPr>
        <w:t>Objective.</w:t>
      </w:r>
      <w:r>
        <w:rPr>
          <w:rFonts w:ascii="Times New Roman" w:hAnsi="Times New Roman"/>
          <w:b w:val="0"/>
          <w:i w:val="0"/>
          <w:sz w:val="22"/>
        </w:rPr>
        <w:t xml:space="preserve"> To delimit the available evidence and determine whether its structure and reporting admit a quantitative synthesis of efficacy.</w:t>
      </w:r>
    </w:p>
    <w:p>
      <w:pPr>
        <w:jc w:val="both"/>
      </w:pPr>
      <w:r>
        <w:rPr>
          <w:rFonts w:ascii="Times New Roman" w:hAnsi="Times New Roman"/>
          <w:b w:val="0"/>
          <w:i/>
          <w:sz w:val="22"/>
        </w:rPr>
        <w:t>Methodology.</w:t>
      </w:r>
      <w:r>
        <w:rPr>
          <w:rFonts w:ascii="Times New Roman" w:hAnsi="Times New Roman"/>
          <w:b w:val="0"/>
          <w:i w:val="0"/>
          <w:sz w:val="22"/>
        </w:rPr>
        <w:t xml:space="preserve"> Systematic review following PRISMA 2020, with separate streams for bibliographic databases and trial registries. Eight sources were queried with a 2016-2026 window where the interface allows it. The unit of inclusion was the study, not the report. Extraction was in duplicate and independent, with 539 of 541 disagreements adjudicated. Risk of bias was assessed by consensus, by domain, in the 10 comparative studies with full text (RoB 2, ROBINS-I); GRADE was not applied.</w:t>
      </w:r>
    </w:p>
    <w:p>
      <w:pPr>
        <w:jc w:val="both"/>
      </w:pPr>
      <w:r>
        <w:rPr>
          <w:rFonts w:ascii="Times New Roman" w:hAnsi="Times New Roman"/>
          <w:b w:val="0"/>
          <w:i/>
          <w:sz w:val="22"/>
        </w:rPr>
        <w:t>Results.</w:t>
      </w:r>
      <w:r>
        <w:rPr>
          <w:rFonts w:ascii="Times New Roman" w:hAnsi="Times New Roman"/>
          <w:b w:val="0"/>
          <w:i w:val="0"/>
          <w:sz w:val="22"/>
        </w:rPr>
        <w:t xml:space="preserve"> From 23 057 records, 17 129 unique reports remained; 233 reports formed 183 studies assessed for eligibility, of which 51 were excluded: 27 on the article, 17 on the registry record and 7 without reading either. 132 studies remain, 90 with a retrievable publication and 66 with the text obtained (73.3 %). Of those 90, 44.4 % are single case reports and 10.0 % have a comparative design; resistance category cannot be assigned from the abstract in 74.4 %. In 68 of the 98 extracted arms (69.4 %) no operational definition of clinical success is on record. No arm meets all seven requirements of a pooled proportion; of the 19 meeting the other six, 14 have a single-patient denominator.</w:t>
      </w:r>
    </w:p>
    <w:p>
      <w:pPr>
        <w:jc w:val="both"/>
      </w:pPr>
      <w:r>
        <w:rPr>
          <w:rFonts w:ascii="Times New Roman" w:hAnsi="Times New Roman"/>
          <w:b w:val="0"/>
          <w:i/>
          <w:sz w:val="22"/>
        </w:rPr>
        <w:t>Conclusions.</w:t>
      </w:r>
      <w:r>
        <w:rPr>
          <w:rFonts w:ascii="Times New Roman" w:hAnsi="Times New Roman"/>
          <w:b w:val="0"/>
          <w:i w:val="0"/>
          <w:sz w:val="22"/>
        </w:rPr>
        <w:t xml:space="preserve">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p>
      <w:pPr>
        <w:spacing w:before="360" w:after="40"/>
      </w:pPr>
      <w:r>
        <w:rPr>
          <w:rFonts w:ascii="Times New Roman" w:hAnsi="Times New Roman"/>
          <w:b/>
          <w:i w:val="0"/>
          <w:sz w:val="24"/>
        </w:rPr>
        <w:t>Resumen en párrafo corrido (español) — 248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sin examinar su agregabilidad. Este trabajo delimita esa evidencia y determina si su estructura y reporte admiten una síntesis cuantitativa de eficacia. Revisión sistemática conforme a PRISMA 2020 sobre ocho fuentes —bases bibliográficas y registros de ensayos—, con ventana 2016-2026 donde la interfaz la admite. La unidad de inclusión fue el estudio, no el informe. Extracción por duplicado e independiente, con 539 de 541 desacuerdos adjudicados. El riesgo de sesgo se evaluó por consenso, por dominios, en los 10 comparativos con texto completo (RoB 2, ROBINS-I); no se aplicó GRADE. De 23 057 registros quedaron 17 129 informes únicos; 233 informes formaron 183 estudios evaluados para elegibilidad, de los que 51 se excluyeron: 27 por el artículo, 17 por la ficha del registro y 7 sin poder leer ninguno. Quedan 132 estudios, 90 con publicación recuperable y 66 con texto obtenido (73,3 %). De esos 90, el 44,4 % son reportes de caso único y el 10,0 % tiene diseño comparativo; la categoría de resistencia no puede asignarse desde el resumen en el 74,4 %. En 68 de 98 brazos extraídos (69,4 %) no consta una definición operativa de éxito clínico. Ningún brazo reúne los requisitos aritméticos de una proporción agrupada y los de elegibilidad. El cuerpo de evidencia es amplio pero inadecuado para una síntesis cuantitativa de eficacia: las proporciones publicadas descansan sobre supuestos que estos datos no verifican.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farmacorresistencia bacteriana múltiple; </w:t>
      </w:r>
      <w:r>
        <w:rPr>
          <w:rFonts w:ascii="Times New Roman" w:hAnsi="Times New Roman"/>
          <w:b w:val="0"/>
          <w:i/>
          <w:sz w:val="22"/>
        </w:rPr>
        <w:t>Pseudomonas aeruginosa</w:t>
      </w:r>
      <w:r>
        <w:rPr>
          <w:rFonts w:ascii="Times New Roman" w:hAnsi="Times New Roman"/>
          <w:b w:val="0"/>
          <w:i w:val="0"/>
          <w:sz w:val="22"/>
        </w:rPr>
        <w:t>; revisión sistemática.</w:t>
      </w:r>
    </w:p>
    <w:p>
      <w:pPr>
        <w:spacing w:before="360" w:after="40"/>
      </w:pPr>
      <w:r>
        <w:rPr>
          <w:rFonts w:ascii="Times New Roman" w:hAnsi="Times New Roman"/>
          <w:b/>
          <w:i w:val="0"/>
          <w:sz w:val="24"/>
        </w:rPr>
        <w:t>Abstract as a single paragraph (English) — 250 palabras</w:t>
      </w:r>
    </w:p>
    <w:p>
      <w:pPr>
        <w:spacing w:after="140" w:line="240" w:lineRule="auto"/>
      </w:pPr>
      <w:r>
        <w:rPr>
          <w:rFonts w:ascii="Times New Roman" w:hAnsi="Times New Roman"/>
          <w:i/>
          <w:color w:val="555555"/>
          <w:sz w:val="18"/>
        </w:rPr>
        <w:t>Esta es la que va en el manuscrito. Dentro del límite de 250.</w:t>
      </w:r>
    </w:p>
    <w:p>
      <w:pPr>
        <w:jc w:val="both"/>
      </w:pPr>
      <w:r>
        <w:rPr>
          <w:rFonts w:ascii="Times New Roman" w:hAnsi="Times New Roman"/>
          <w:b w:val="0"/>
          <w:i w:val="0"/>
          <w:sz w:val="22"/>
        </w:rPr>
        <w:t xml:space="preserve">Several recent syntheses pool phage therapy outcomes in resistant </w:t>
      </w:r>
      <w:r>
        <w:rPr>
          <w:rFonts w:ascii="Times New Roman" w:hAnsi="Times New Roman"/>
          <w:b w:val="0"/>
          <w:i/>
          <w:sz w:val="22"/>
        </w:rPr>
        <w:t>Pseudomonas aeruginosa</w:t>
      </w:r>
      <w:r>
        <w:rPr>
          <w:rFonts w:ascii="Times New Roman" w:hAnsi="Times New Roman"/>
          <w:b w:val="0"/>
          <w:i w:val="0"/>
          <w:sz w:val="22"/>
        </w:rPr>
        <w:t xml:space="preserve"> into overall success proportions without examining their aggregability. This work delimits that evidence and determines whether its structure and reporting admit a quantitative synthesis of efficacy. A PRISMA 2020 systematic review across eight sources —bibliographic databases and trial registries—, with a 2016-2026 window where the interface allows it. The unit of inclusion was the study, not the report. Data were extracted in duplicate and independently, with 539 of 541 disagreements adjudicated. Risk of bias was assessed by consensus, by domain, in the 10 comparative studies with full text (RoB 2, ROBINS-I); GRADE was not applied. From 23 057 records, 17 129 unique reports remained; 233 reports formed 183 studies assessed for eligibility, of which 51 were excluded: 27 on the article, 17 on the registry record and 7 without reading either. 132 studies remain, 90 with a retrievable publication and 66 with the text obtained (73.3 %). Of those 90, 44.4 % are single case reports and 10.0 % have a comparative design; resistance category cannot be assigned from the abstract in 74.4 %. In 68 of the 98 extracted arms (69.4 %) no operational definition of clinical success is on record. No arm meets all seven requirements of a pooled proportion; of the 19 meeting the other six, 14 have a single-patient denominator. The evidence base is broad but unsuited to a quantitative synthesis of efficacy: the published proportions rest on assumptions that these data do not verify.</w:t>
      </w:r>
    </w:p>
    <w:p>
      <w:pPr>
        <w:jc w:val="both"/>
      </w:pPr>
      <w:r>
        <w:rPr>
          <w:rFonts w:ascii="Times New Roman" w:hAnsi="Times New Roman"/>
          <w:b w:val="0"/>
          <w:i/>
          <w:sz w:val="22"/>
        </w:rPr>
        <w:t>Keywords:</w:t>
      </w:r>
      <w:r>
        <w:rPr>
          <w:rFonts w:ascii="Times New Roman" w:hAnsi="Times New Roman"/>
          <w:b w:val="0"/>
          <w:i w:val="0"/>
          <w:sz w:val="22"/>
        </w:rPr>
        <w:t xml:space="preserve"> bacteriophages; phage therapy; multiple bacterial drug resistance; </w:t>
      </w:r>
      <w:r>
        <w:rPr>
          <w:rFonts w:ascii="Times New Roman" w:hAnsi="Times New Roman"/>
          <w:b w:val="0"/>
          <w:i/>
          <w:sz w:val="22"/>
        </w:rPr>
        <w:t>Pseudomonas aeruginosa</w:t>
      </w:r>
      <w:r>
        <w:rPr>
          <w:rFonts w:ascii="Times New Roman" w:hAnsi="Times New Roman"/>
          <w:b w:val="0"/>
          <w:i w:val="0"/>
          <w:sz w:val="22"/>
        </w:rPr>
        <w:t>; systematic review.</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Resumen estructurado — hoja de trabajo. El resumen que se envía ya va dentro de manuscrito_JSR_final.docx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