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3 de octubre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El reparo que lo retenía fuera de la revisión por pares ya no está: la extracción por duplicado está hecha (122 de 124 estudios). La adjudicación por consenso quedó cerrada el 14 de septiembre de 2026: 539 de los 541 desacuerdos llevan firma conjunta y los 2 restantes se cerraron por una regla mecánica, declarada como tal. Con eso cae el reparo B1; lo que sigue bloqueando es el registro del protocolo.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48 estudios con PDF, contra el texto completo. Esa comprobación detectó dos estudios cuyos metadatos declaraban inglés y cuyo artículo está en ruso, que se excluyeron: sin abrir el PDF se habrían quedado dentro. Los 166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218</w:t>
            </w:r>
          </w:p>
        </w:tc>
        <w:tc>
          <w:tcPr>
            <w:tcW w:type="dxa" w:w="2494"/>
          </w:tcPr>
          <w:p>
            <w:r/>
            <w:r>
              <w:rPr>
                <w:sz w:val="18"/>
              </w:rPr>
              <w:t>132</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90</w:t>
            </w:r>
          </w:p>
        </w:tc>
      </w:tr>
      <w:tr>
        <w:tc>
          <w:tcPr>
            <w:tcW w:type="dxa" w:w="3969"/>
          </w:tcPr>
          <w:p>
            <w:r/>
            <w:r>
              <w:rPr>
                <w:sz w:val="18"/>
              </w:rPr>
              <w:t>Diseños comparativos</w:t>
            </w:r>
          </w:p>
        </w:tc>
        <w:tc>
          <w:tcPr>
            <w:tcW w:type="dxa" w:w="2494"/>
          </w:tcPr>
          <w:p>
            <w:r/>
            <w:r>
              <w:rPr>
                <w:sz w:val="18"/>
              </w:rPr>
              <w:t>41</w:t>
            </w:r>
          </w:p>
        </w:tc>
        <w:tc>
          <w:tcPr>
            <w:tcW w:type="dxa" w:w="2494"/>
          </w:tcPr>
          <w:p>
            <w:r/>
            <w:r>
              <w:rPr>
                <w:sz w:val="18"/>
              </w:rPr>
              <w:t>9</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2</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RESUELTO el 14 de septiembre de 2026. Extracción por duplicado completa (122 de 124 estudios, 98 %) y 539 de 541 desacuerdos con firma conjunta; los 2 restantes, cerrados por regla mecánica y declarados como tal. La fila se conserva porque era el reparo principal y el lector tiene que poder ver que cayó.</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73,3 % obtenido sigue siendo insuficiente y, sobre todo, sesgado: la fracción faltante concentra el 66,7 %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9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90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