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8 214.</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183 studies and, on reading the full texts, </w:t>
      </w:r>
      <w:r>
        <w:rPr>
          <w:b/>
        </w:rPr>
        <w:t>51 left the corpus</w:t>
      </w:r>
      <w:r>
        <w:t xml:space="preserve"> —protocols, preclinical models, and articles where </w:t>
      </w:r>
      <w:r>
        <w:rPr>
          <w:i/>
        </w:rPr>
        <w:t>P. aeruginosa</w:t>
      </w:r>
      <w:r>
        <w:t xml:space="preserve"> appears only in the product's declared spectrum—, leaving </w:t>
      </w:r>
      <w:r>
        <w:rPr>
          <w:b/>
        </w:rPr>
        <w:t>132</w:t>
      </w:r>
      <w:r>
        <w:t xml:space="preserve">, 90 with a retrievable publication. Single case reports, 44.4 %; comparative, 10.0 %; resistance class unassignable, 74.4 %. Full text was obtained for 66 (73.3 %), and what is missing concentrates 66.7 % of the comparative designs; the language criterion removed 35 studies more. In 68 of the 98 arms (69.4 %)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rPr>
          <w:b/>
        </w:rPr>
        <w:t>Targeted re-reading after adjudication.</w:t>
      </w:r>
      <w:r>
        <w:t xml:space="preserve"> Three questions could not be answered with the form and were answered by going back to the article, with one workbook per question in which each conclusion carries the sentence or table it rests on and the signature of both authors, dated 30 September 2026: the resistance class of the 70 studies that then had full text, checked against the published antibiogram (section 3.4, annex S23); the comparator, time zero, assessment time, co-interventions, losses and estimand of the 14 studies with a comparative design, 11 of them with text (section 3.7, annex S24), and the pairs of studies that could describe the same patients (section 4.4, annex S21). The re-reading was done by the two authors, each of whom read the full articles and checked against the figure the antibiograms the article gives only as an image; in addition, every quoted sentence was searched automatically in the text of its PDF. The corrections the re-reading leaves unambiguous enter the extraction as signed corrections, with the previous value and the quotation; those that left an arm with more than one value, and the exclusions the re-reading brought to light, were decided and signed by the two authors on 1 October 2026.</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10 of the 13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 and resolved by consensus.</w:t>
      </w:r>
      <w:r>
        <w:t xml:space="preserve"> Each author assesses separately, with the article in front of them, and disagreements are discussed one by one until a judgement is agreed. Pre-consensus agreement is reported in section 3.7, as it is for data extraction (section 2.6). One study, added to the assessment after the others, has a single reading and is declared as such. Nothing further is reported. The limitation is stated in section 4.4.</w:t>
      </w:r>
    </w:p>
    <w:p>
      <w:r>
        <w:rPr>
          <w:b/>
        </w:rPr>
        <w:t>GRADE is not applied</w:t>
      </w:r>
      <w:r>
        <w:t>, and the reason does not depend on the above: it rates the certainty of a pooled estimate and this review presents none. Section 3.5 shows that only 2 of the 98 arms meet the minimum requirements for pooling, and none survives the eligibility criteria. Rating the certainty of a result that does not exist would be a formality, not an assessment [@Guyatt2011_grade].</w:t>
      </w:r>
    </w:p>
    <w:p>
      <w:r>
        <w:t>Section 3.7 reports the 74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Two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132 to 108 studies, comparative designs from 9 to 3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73.3 %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On reading their full texts during extraction, </w:t>
      </w:r>
      <w:r>
        <w:rPr>
          <w:b/>
        </w:rPr>
        <w:t>51 of them left the corpus</w:t>
      </w:r>
      <w:r>
        <w:t xml:space="preserve"> and were excluded; the next subsection details them. The evidence base stands at </w:t>
      </w:r>
      <w:r>
        <w:rPr>
          <w:b/>
        </w:rPr>
        <w:t>132 studies</w:t>
      </w:r>
      <w:r>
        <w:t>, grouping 166 reports: 110 with a single report and 22 with several, up to a maximum of eleven reports of one trial. The 134 trial-registry reports are not a separate stream from that figure: they are among the 23 057 identified (121 from ClinicalTrials.gov, 10 from CTIS and 3 from EudraCT), and the diagram separates them from screening onwards because PRISMA 2020 requires both streams to be declared.</w:t>
      </w:r>
    </w:p>
    <w:p>
      <w:pPr>
        <w:pStyle w:val="Heading2"/>
      </w:pPr>
      <w:r>
        <w:t>3.1.1 The 51 studies the screening admitted and that later left</w:t>
      </w:r>
    </w:p>
    <w:p>
      <w:r>
        <w:rPr>
          <w:b/>
        </w:rPr>
        <w:t>Thirty-four left when judged on their publication.</w:t>
      </w:r>
      <w:r>
        <w:t xml:space="preserve"> They were excluded for eight reasons, and none is a difference of judgement: they are studies that fail what section 2.2 already required. </w:t>
      </w:r>
      <w:r>
        <w:rPr>
          <w:b/>
        </w:rPr>
        <w:t>Twenty-nine</w:t>
      </w:r>
      <w:r>
        <w:t xml:space="preserve"> came from reading the article. </w:t>
      </w:r>
      <w:r>
        <w:rPr>
          <w:b/>
        </w:rPr>
        <w:t>Fifteen</w:t>
      </w:r>
      <w:r>
        <w:t xml:space="preserve"> have </w:t>
      </w:r>
      <w:r>
        <w:rPr>
          <w:i/>
        </w:rPr>
        <w:t>P. aeruginosa</w:t>
      </w:r>
      <w:r>
        <w:t xml:space="preserve"> in no patient — it appears in the declared spectrum of the phage product, in the introduction, in the discussion or in the reference list; one of them names no organism at all. Four of them were detected when the resistance class was checked against the article (section 3.4), and the two authors excluded them on 1 October 2026.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as almost all of those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27 are the other side of that limitation, and they are </w:t>
      </w:r>
      <w:r>
        <w:rPr>
          <w:b/>
        </w:rPr>
        <w:t>29.0 %</w:t>
      </w:r>
      <w:r>
        <w:t xml:space="preserve"> of the 93 studies whose full text could be read. It is a floor, not a total: the 31 studies without full text could not be checked against anything.</w:t>
      </w:r>
    </w:p>
    <w:p>
      <w:r>
        <w:rPr>
          <w:b/>
        </w:rPr>
        <w:t>Another 17 studies left by a different route: their registry record.</w:t>
      </w:r>
      <w:r>
        <w:t xml:space="preserve"> The earlier 29 were judged on the article; these have no article.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remain.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Of the 132 studies, </w:t>
      </w:r>
      <w:r>
        <w:rPr>
          <w:b/>
        </w:rPr>
        <w:t>90 have a retrievable publication</w:t>
      </w:r>
      <w:r>
        <w:t xml:space="preserve">: 87 articles and 3 that exist only as conference abstracts. The remaining </w:t>
      </w:r>
      <w:r>
        <w:rPr>
          <w:b/>
        </w:rPr>
        <w:t>42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66 of the 90 retrievable studies (73.3 %)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9 comparative studies, </w:t>
      </w:r>
      <w:r>
        <w:rPr>
          <w:b/>
        </w:rPr>
        <w:t>66.7 %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40 single case reports (44.4 %)</w:t>
      </w:r>
      <w:r>
        <w:t xml:space="preserve">, 18 case series, 12 prospective cohorts, 7 randomised trials, 2 non-randomised trials and 3 retrospective cohorts. A further 8 do not state a recognisable design in the abstract. Comparative designs total </w:t>
      </w:r>
      <w:r>
        <w:rPr>
          <w:b/>
        </w:rPr>
        <w:t>9 studies, 10.0 %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74.4 %</w:t>
      </w:r>
      <w:r>
        <w:t xml:space="preserve"> of studies: 60.0 % do not mention it at all and a further 14.4 %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51.1 %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35.6 %</w:t>
      </w:r>
      <w:r>
        <w:t>.</w:t>
      </w:r>
    </w:p>
    <w:p>
      <w:pPr>
        <w:pStyle w:val="ListBullet"/>
      </w:pPr>
      <w:r>
        <w:t xml:space="preserve">Fulfilment of the </w:t>
      </w:r>
      <w:r>
        <w:rPr>
          <w:b/>
        </w:rPr>
        <w:t>DTR</w:t>
      </w:r>
      <w:r>
        <w:t xml:space="preserve"> criterion (difficult-to-treat resistance) is not stated in </w:t>
      </w:r>
      <w:r>
        <w:rPr>
          <w:b/>
        </w:rPr>
        <w:t>97.8 %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 That category is not merely descriptive: it is the review's population criterion. </w:t>
      </w:r>
      <w:r>
        <w:rPr>
          <w:b/>
        </w:rPr>
        <w:t>In 8 of the 98 arms the class falls below the multidrug-resistance threshold</w:t>
      </w:r>
      <w:r>
        <w:t xml:space="preserve"> (EST-001 A, EST-003 B, EST-053 A, EST-057 A, EST-088 A, EST-094 A, EST-106 A, EST-108 A). 2 are strata within studies that do include multidrug-resistant patients, and do not compromise the study's eligibility. The other 6 — EST-001, EST-053, EST-057, EST-088, EST-094 and EST-106 — are single-arm studies whose only patient is not multidrug-resistant. EST-001 and EST-094 are kept in the corpus by signed decision of the two authors on 22 September 2026, and EST-053, EST-057 and EST-088, which fell below the threshold when their class was checked against the article (next paragraph), by the same signed decision on 1 October; the retention of EST-106, which fell below the threshold when its class was resolved that same day, awaits the signature of both authors. All are declared here so the reader can discount them.</w:t>
      </w:r>
    </w:p>
    <w:p>
      <w:r>
        <w:rPr>
          <w:b/>
        </w:rPr>
        <w:t>The class was then checked against the article.</w:t>
      </w:r>
      <w:r>
        <w:t xml:space="preserve"> The two authors re-read the 70 studies that then had full text, sought the antibiogram and applied the definitions of Magiorakos et al.; each conclusion carries the sentence or table of the article it rests on and the signature of both (annex S23). In 9 the reading found no patient with </w:t>
      </w:r>
      <w:r>
        <w:rPr>
          <w:i/>
        </w:rPr>
        <w:t>P. aeruginosa</w:t>
      </w:r>
      <w:r>
        <w:t xml:space="preserve"> treated with phages. The two authors excluded 4 with code ORG (EST-009, EST-055, EST-181 and EST-208; section 3.1.1) and kept 5, which are declared here with what the article says: in EST-152 and EST-170 the only mention of </w:t>
      </w:r>
      <w:r>
        <w:rPr>
          <w:i/>
        </w:rPr>
        <w:t>P. aeruginosa</w:t>
      </w:r>
      <w:r>
        <w:t xml:space="preserve"> is the description of the patient of another study in the corpus (EST-049 and EST-106); in EST-132 it appears only in the composition of the empirical cocktail, with no breakdown by organism, and in EST-129 and EST-135 the patient had </w:t>
      </w:r>
      <w:r>
        <w:rPr>
          <w:i/>
        </w:rPr>
        <w:t>P. aeruginosa</w:t>
      </w:r>
      <w:r>
        <w:t xml:space="preserve">, but the phage was not directed against it. The same holds in EST-051 and EST-096, which are also kept. Of the 66 studies with full text that remain in the corpus, the class could be checked in 30: in 22 against a printed antibiogram and in 8 against a description of susceptibility in the text; in 31 there is nothing to check it against — the antibiogram is not published or sits in supplementary material that was not obtained — and the remaining 5 are those kept without treated </w:t>
      </w:r>
      <w:r>
        <w:rPr>
          <w:i/>
        </w:rPr>
        <w:t>P. aeruginosa</w:t>
      </w:r>
      <w:r>
        <w:t>. Of the 30 checked, the class matched the coded one in 18; in 5 the extraction had it as not classifiable and the article allowed it to be assigned — 3 below the threshold and 2 XDR —; in 2 it was more severe than coded (EST-043 and EST-047); in 3 the declared class was not confirmed (EST-015, EST-030 and EST-042), and in 2 it changes between patients or between isolates of the same arm (EST-124 and EST-169). The 35 corrections the reading leaves unambiguous for the whole arm — 8 of class, 17 of its source and 10 of the DTR criterion — entered the extraction with the signature of both authors. The 9 studies in which it left an arm with more than one value were resolved by the two authors on 1 October 2026: in 5 the extraction was corrected (EST-047, EST-048, EST-058, EST-106 and EST-124) and in 4 it was left as it was (EST-004, EST-019, EST-042 and EST-169). Two of those four are declared expressly: EST-042 keeps the PDR its authors declare although its own antibiogram does not support it, and EST-169 keeps in a single arm one patient below the threshold and another XDR.</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98 extracted arms.</w:t>
      </w:r>
    </w:p>
    <w:p>
      <w:r>
        <w:t xml:space="preserve">Completeness is uneven and, at best, partial. Adverse events are the outcome most often reported with a denominator (77.6 % of arms) and emergence of phage resistance the least (26.5 %), despite being the outcome that determines whether the intervention retains its usefulness. Those percentages are computed over all 98 arms and therefore include 24 from studies whose full text has not been retrieved: of an article one has not been able to read, one cannot assert that it is silent. Over the 74 readable arms the figures rise — from 77.6 % to 89.2 % for adverse events, from 26.5 % to 35.1 % for resistance — and Table 5 gives both columns so the reader can separate the literature's silence from this review's own documentary gap. Clinical success, the outcome that published syntheses pool, is reported with numerator and denominator in 68.4 %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68.4 % is misleading, however, if read as availability for pooling. </w:t>
      </w:r>
      <w:r>
        <w:rPr>
          <w:b/>
        </w:rPr>
        <w:t>In 68 of the 98 arms (69.4 %) no operational definition of clinical success is on record</w:t>
      </w:r>
      <w:r>
        <w:t>; over the 74 readable arms, in 44 (59.5 %). In 47 of them the reviewers established this by reading the article: 46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12 of the 98 arms it cannot be classified — the two reviewers agreed on "NA" in all 12 — so the design counts are floors over the remaining 86. Of those 86, </w:t>
      </w:r>
      <w:r>
        <w:rPr>
          <w:b/>
        </w:rPr>
        <w:t>7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16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98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98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1 and some concerns in 2. Of the 7 studies assessed with ROBINS-I, the overall judgement is no information in 1 and serious risk in 6. The domain concentrating most unfavourable judgements —high risk under RoB 2; serious or critical under ROBINS-I— in ROBINS-I is “bias due to confounding”, in 6 of 7. The two reviewers assessed 9 of the 10 assessable studies independently and agreed on 55 of the 66 comparable judgements (83.3 %; Cohen's kappa 0.77). The remaining 11 were discussed one by one and resolved by consensus, all 11 in the same direction. The remaining study was assessed in a separate workbook and has a single reading.</w:t>
      </w:r>
    </w:p>
    <w:p>
      <w:r>
        <w:t xml:space="preserve">A comparative design label does not guarantee a comparison group: of the 10 assessable studies, 4 have one (EST-008, EST-021, EST-108 and EST-132) and in 6 the signed domain-1 notes state there is none. Of the 4 with a comparison group, 3 compare phage with no phage —EST-108 compares with and without antibiotic within phage-treated patients—, and only 2 give a between-arm contrast for </w:t>
      </w:r>
      <w:r>
        <w:rPr>
          <w:i/>
        </w:rPr>
        <w:t>P. aeruginosa</w:t>
      </w:r>
      <w:r>
        <w:t xml:space="preserve"> (EST-008 and EST-021; that of EST-008 is partial): in EST-132 the article does not break its results down by organism.</w:t>
      </w:r>
    </w:p>
    <w:p>
      <w:r>
        <w:rPr>
          <w:b/>
        </w:rPr>
        <w:t>Table 7.</w:t>
      </w:r>
      <w:r>
        <w:t xml:space="preserve"> Domain-level risk of bias for the 10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132 studies against the dozens handled by published reviews, and would have been 218 without the language restriction adopted at the end and without the 51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132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seven,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pre-consensus agreement was 83.3 % (55 of 66 judgements; Cohen's kappa 0.77), with 11 disagreements all resolved in the same direction. </w:t>
      </w:r>
      <w:r>
        <w:rPr>
          <w:b/>
        </w:rPr>
        <w:t>Fifth</w:t>
      </w:r>
      <w:r>
        <w:t xml:space="preserve">, full text was obtained for 73.3 % of the retrievable studies, and the missing fraction is enriched in comparative designs, so what is described under-represents the comparative part of the field. </w:t>
      </w:r>
      <w:r>
        <w:rPr>
          <w:b/>
        </w:rPr>
        <w:t>Sixth</w:t>
      </w:r>
      <w:r>
        <w:t xml:space="preserve">,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 </w:t>
      </w:r>
      <w:r>
        <w:rPr>
          <w:b/>
        </w:rPr>
        <w:t>Seventh</w:t>
      </w:r>
      <w:r>
        <w:t xml:space="preserve">, the corpus counts reports and studies, not distinct patients, and contains </w:t>
      </w:r>
      <w:r>
        <w:rPr>
          <w:b/>
        </w:rPr>
        <w:t>20 patients described in more than one study</w:t>
      </w:r>
      <w:r>
        <w:t xml:space="preserve">, spread over 18 of the 132. Three groups concentrate them. At the Israeli phage therapy centre, EST-003 shares 8 of its patients: 6 with EST-070, another series from the same centre, and the rest with EST-012 and EST-015; a 10-year-old girl with an infected Berlin Heart EXCOR device appears in EST-003, EST-070 and EST-077, and a 7-year-old girl with an osteoarticular infection in EST-003, EST-070 and EST-095. At the University of California San Diego, EST-034 shares 3 patients with EST-049, EST-061 and EST-077. And in the Belgian consortium, EST-108 states that 27 of its 100 patients had been reported before and cites 15 references, of which </w:t>
      </w:r>
      <w:r>
        <w:rPr>
          <w:b/>
        </w:rPr>
        <w:t>7 are studies in this corpus</w:t>
      </w:r>
      <w:r>
        <w:t xml:space="preserve"> — EST-002, EST-010, EST-016, EST-046, EST-062, EST-124 and EST-164 — contributing 8 patients; to them is added EST-088, published later, whose patient matches one in EST-108 in infection, species and phages. The examination covered the 66 full texts and gathered 31 pairs: 16 flagged by a detector based on product, country and citation, and 15 found by reading. 19 were confirmed, 12 were ruled out and </w:t>
      </w:r>
      <w:r>
        <w:rPr>
          <w:b/>
        </w:rPr>
        <w:t>none remains unread</w:t>
      </w:r>
      <w:r>
        <w:t>; the verdict on each pair carries the sentence it rests on and the signature of both authors (annex S21). As the review publishes no pooled estimate, the duplication alters no effect figure, but it prevents reading the corpus as 132 disjoint sets of patients.</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90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98 arms).</w:t>
      </w:r>
    </w:p>
    <w:p>
      <w:r>
        <w:rPr>
          <w:b/>
        </w:rPr>
        <w:t>Table 6.</w:t>
      </w:r>
      <w:r>
        <w:t xml:space="preserve"> Arms surviving each requirement for a pooled proportion of clinical success (n = 98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90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Editorial report: what was decided, when, and on what grounds.</w:t>
      </w:r>
    </w:p>
    <w:p>
      <w:pPr>
        <w:pStyle w:val="ListBullet"/>
      </w:pPr>
      <w:r>
        <w:rPr>
          <w:b/>
        </w:rPr>
        <w:t>S1.</w:t>
      </w:r>
      <w:r>
        <w:t xml:space="preserve"> PRISMA 2020 checklist.</w:t>
      </w:r>
    </w:p>
    <w:p>
      <w:pPr>
        <w:pStyle w:val="ListBullet"/>
      </w:pPr>
      <w:r>
        <w:rPr>
          <w:b/>
        </w:rPr>
        <w:t>S2.</w:t>
      </w:r>
      <w:r>
        <w:t xml:space="preserve"> Verbatim search strings by source, with date and number of results.</w:t>
      </w:r>
    </w:p>
    <w:p>
      <w:pPr>
        <w:pStyle w:val="ListBullet"/>
      </w:pPr>
      <w:r>
        <w:rPr>
          <w:b/>
        </w:rPr>
        <w:t>S3.</w:t>
      </w:r>
      <w:r>
        <w:t xml:space="preserve"> Full record of screening decisions, in two files: stage 2 (title) and stage 3 (abstract). Every row carries its coded reason, who issued it and when.</w:t>
      </w:r>
    </w:p>
    <w:p>
      <w:pPr>
        <w:pStyle w:val="ListBullet"/>
      </w:pPr>
      <w:r>
        <w:rPr>
          <w:b/>
        </w:rPr>
        <w:t>S4.</w:t>
      </w:r>
      <w:r>
        <w:t xml:space="preserve"> Pre-extraction from the abstracts of the 90 studies with a retrievable publication, flagged as partial in every record.</w:t>
      </w:r>
    </w:p>
    <w:p>
      <w:pPr>
        <w:pStyle w:val="ListBullet"/>
      </w:pPr>
      <w:r>
        <w:rPr>
          <w:b/>
        </w:rPr>
        <w:t>S5.</w:t>
      </w:r>
      <w:r>
        <w:t xml:space="preserve"> Listing of the 132 studies with their status and grouped reports, and of the 51 excluded after screening, with their reason and supporting quotation.</w:t>
      </w:r>
    </w:p>
    <w:p>
      <w:pPr>
        <w:pStyle w:val="ListBullet"/>
      </w:pPr>
      <w:r>
        <w:rPr>
          <w:b/>
        </w:rPr>
        <w:t>S6.</w:t>
      </w:r>
      <w:r>
        <w:t xml:space="preserve"> Positive-control audit.</w:t>
      </w:r>
    </w:p>
    <w:p>
      <w:pPr>
        <w:pStyle w:val="ListBullet"/>
      </w:pPr>
      <w:r>
        <w:rPr>
          <w:b/>
        </w:rPr>
        <w:t>S7.</w:t>
      </w:r>
      <w:r>
        <w:t xml:space="preserve"> ICMJE declarations.</w:t>
      </w:r>
    </w:p>
    <w:p>
      <w:pPr>
        <w:pStyle w:val="ListBullet"/>
      </w:pPr>
      <w:r>
        <w:rPr>
          <w:b/>
        </w:rPr>
        <w:t>S8.</w:t>
      </w:r>
      <w:r>
        <w:t xml:space="preserve"> Full-text retrieval log: what was attempted for each study and with what result.</w:t>
      </w:r>
    </w:p>
    <w:p>
      <w:pPr>
        <w:pStyle w:val="ListBullet"/>
      </w:pPr>
      <w:r>
        <w:rPr>
          <w:b/>
        </w:rPr>
        <w:t>S9.</w:t>
      </w:r>
      <w:r>
        <w:t xml:space="preserve"> Language by report, with the class of evidence it provided.</w:t>
      </w:r>
    </w:p>
    <w:p>
      <w:pPr>
        <w:pStyle w:val="ListBullet"/>
      </w:pPr>
      <w:r>
        <w:rPr>
          <w:b/>
        </w:rPr>
        <w:t>S10.</w:t>
      </w:r>
      <w:r>
        <w:t xml:space="preserve"> Language verification against the full text of the PDF, not against the metadata.</w:t>
      </w:r>
    </w:p>
    <w:p>
      <w:pPr>
        <w:pStyle w:val="ListBullet"/>
      </w:pPr>
      <w:r>
        <w:rPr>
          <w:b/>
        </w:rPr>
        <w:t>S11.</w:t>
      </w:r>
      <w:r>
        <w:t xml:space="preserve"> Agreement between the two independent extractions, before disagreements were resolved.</w:t>
      </w:r>
    </w:p>
    <w:p>
      <w:pPr>
        <w:pStyle w:val="ListBullet"/>
      </w:pPr>
      <w:r>
        <w:rPr>
          <w:b/>
        </w:rPr>
        <w:t>S12.</w:t>
      </w:r>
      <w:r>
        <w:t xml:space="preserve"> Resolution of extraction conflicts, including those that cannot yet be settled.</w:t>
      </w:r>
    </w:p>
    <w:p>
      <w:pPr>
        <w:pStyle w:val="ListBullet"/>
      </w:pPr>
      <w:r>
        <w:rPr>
          <w:b/>
        </w:rPr>
        <w:t>S13.</w:t>
      </w:r>
      <w:r>
        <w:t xml:space="preserve"> Outcome extraction rules, with their documented correction.</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S16.</w:t>
      </w:r>
      <w:r>
        <w:t xml:space="preserve"> The 51 studies the screening admitted and the full text contradicted, with their reason code and the sentence from the article that supports it.</w:t>
      </w:r>
    </w:p>
    <w:p>
      <w:pPr>
        <w:pStyle w:val="ListBullet"/>
      </w:pPr>
      <w:r>
        <w:rPr>
          <w:b/>
        </w:rPr>
        <w:t>S17.</w:t>
      </w:r>
      <w:r>
        <w:t xml:space="preserve"> Table 6 broken down: the seven requirements, arm by arm over the 98 arms, with the first one that fails and why.</w:t>
      </w:r>
    </w:p>
    <w:p>
      <w:pPr>
        <w:pStyle w:val="ListBullet"/>
      </w:pPr>
      <w:r>
        <w:rPr>
          <w:b/>
        </w:rPr>
        <w:t>S18.</w:t>
      </w:r>
      <w:r>
        <w:t xml:space="preserve"> The 74 risk-of-bias judgements, one per row, with the signed sentence supporting each.</w:t>
      </w:r>
    </w:p>
    <w:p>
      <w:pPr>
        <w:pStyle w:val="ListBullet"/>
      </w:pPr>
      <w:r>
        <w:rPr>
          <w:b/>
        </w:rPr>
        <w:t>S18b.</w:t>
      </w:r>
      <w:r>
        <w:t xml:space="preserve"> Sentences harvested from the articles by theme, which accompany but do not replace the signed one.</w:t>
      </w:r>
    </w:p>
    <w:p>
      <w:pPr>
        <w:pStyle w:val="ListBullet"/>
      </w:pPr>
      <w:r>
        <w:rPr>
          <w:b/>
        </w:rPr>
        <w:t>S19.</w:t>
      </w:r>
      <w:r>
        <w:t xml:space="preserve"> Which model issued the screening decisions, when, over which files, what the authors verified and what was NOT recorded, flagged as missing data.</w:t>
      </w:r>
    </w:p>
    <w:p>
      <w:pPr>
        <w:pStyle w:val="ListBullet"/>
      </w:pPr>
      <w:r>
        <w:rPr>
          <w:b/>
        </w:rPr>
        <w:t>S20.</w:t>
      </w:r>
      <w:r>
        <w:t xml:space="preserve"> Which report each of the 98 arms came from, and with what evidence the link was established.</w:t>
      </w:r>
    </w:p>
    <w:p>
      <w:pPr>
        <w:pStyle w:val="ListBullet"/>
      </w:pPr>
      <w:r>
        <w:rPr>
          <w:b/>
        </w:rPr>
        <w:t>S21.</w:t>
      </w:r>
      <w:r>
        <w:t xml:space="preserve"> The 31 pairs of studies that could describe the same patients, with the signal that flagged them, the verdict after reading both articles, the patients shared and the signed sentence it rests on.</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pPr>
        <w:pStyle w:val="ListBullet"/>
      </w:pPr>
      <w:r>
        <w:rPr>
          <w:b/>
        </w:rPr>
        <w:t>S23.</w:t>
      </w:r>
      <w:r>
        <w:t xml:space="preserve"> The resistance class of the 70 studies that had full text, checked against the article's antibiogram: the signed conclusion, the sentence or table it rests on, how it was coded and what changed in the extraction.</w:t>
      </w:r>
    </w:p>
    <w:p>
      <w:pPr>
        <w:pStyle w:val="ListBullet"/>
      </w:pPr>
      <w:r>
        <w:rPr>
          <w:b/>
        </w:rPr>
        <w:t>S24.</w:t>
      </w:r>
      <w:r>
        <w:t xml:space="preserve"> The 14 studies with a comparative design, re-extracted: comparator, allocation, time zero, assessment time, co-interventions, losses, estimand and whether there is a contrast for </w:t>
      </w:r>
      <w:r>
        <w:rPr>
          <w:i/>
        </w:rPr>
        <w:t>P. aeruginosa</w:t>
      </w:r>
      <w:r>
        <w:t>.</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