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8 680.</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183 estudios y, al leer los textos completos, </w:t>
      </w:r>
      <w:r>
        <w:rPr>
          <w:b/>
        </w:rPr>
        <w:t>51 salieron del corpus</w:t>
      </w:r>
      <w:r>
        <w:t xml:space="preserve"> —protocolos, modelos preclínicos, y artículos donde </w:t>
      </w:r>
      <w:r>
        <w:rPr>
          <w:i/>
        </w:rPr>
        <w:t>P. aeruginosa</w:t>
      </w:r>
      <w:r>
        <w:t xml:space="preserve"> solo figura en el espectro del producto—: quedan </w:t>
      </w:r>
      <w:r>
        <w:rPr>
          <w:b/>
        </w:rPr>
        <w:t>132</w:t>
      </w:r>
      <w:r>
        <w:t xml:space="preserve">, 90 con publicación recuperable. Casos únicos, 44,4 %; comparativos, 10,0 %; sin clase de resistencia asignable, 74,4 %. Se obtuvo el texto completo de 66 (73,3 %), y lo que falta concentra el 66,7 % de los comparativos; el criterio de idioma eliminó 35 estudios más. En 68 de los 98 brazos (69,4 %)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35 estudios que declaran procedencia, 13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—90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r>
        <w:rPr>
          <w:b/>
        </w:rPr>
        <w:t>Relectura dirigida tras la adjudicación.</w:t>
      </w:r>
      <w: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de octubre de 2026.</w:t>
      </w:r>
    </w:p>
    <w:p>
      <w:r>
        <w:t>La caracterización estructural del corpus (secciones 3.1 a 3.4, tablas 1 a 4) procede de una pre-extracción sistemática desde el resumen de los 90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10 de los 13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duplicado independiente y se resuelven por consenso.</w:t>
      </w:r>
      <w:r>
        <w:t xml:space="preserve"> Cada autor evalúa por separado, con el artículo delante, y los desacuerdos se discuten uno a uno hasta acordar un juicio. La concordancia previa al consenso se reporta en la sección 3.7, igual que la de la extracción de datos (sección 2.6). Un estudio, incorporado a la evaluación después de las demás, tiene una sola lectura y se declara como tal.</w:t>
      </w:r>
    </w:p>
    <w:p>
      <w:r>
        <w:rPr>
          <w:b/>
        </w:rPr>
        <w:t>GRADE no se aplica</w:t>
      </w:r>
      <w:r>
        <w:t>, y el motivo no depende de lo anterior: califica la certeza de una estimación agrupada y esta revisión no presenta ninguna. La sección 3.5 muestra que solo 2 de los 98 brazos reúnen los requisitos mínimos para agregar, y ninguno los conserva tras aplicar los criterios de elegibilidad. Calificar la certeza de un resultado que no existe sería un trámite, no una evaluación [@Guyatt2011_grade].</w:t>
      </w:r>
    </w:p>
    <w:p>
      <w:r>
        <w:t>La sección 3.7 reporta los 74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132 a 108 estudios, los comparativos de 9 a 3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73,3 % convive con una exclusión que, generalizada, la volvería vacía.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Al leer sus textos completos durante la extracción se comprobó que </w:t>
      </w:r>
      <w:r>
        <w:rPr>
          <w:b/>
        </w:rPr>
        <w:t>51 de ellos salieron del corpus</w:t>
      </w:r>
      <w:r>
        <w:t xml:space="preserve">, y se excluyeron; el apartado siguiente los detalla. El cuerpo de evidencia queda en </w:t>
      </w:r>
      <w:r>
        <w:rPr>
          <w:b/>
        </w:rPr>
        <w:t>132 estudios</w:t>
      </w:r>
      <w:r>
        <w:t>, que agrupan 166 informes: 110 con un solo informe y 22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pStyle w:val="Heading2"/>
      </w:pPr>
      <w:r>
        <w:t>3.1.1 Los 51 estudios que el cribado admitió y que salieron después</w:t>
      </w:r>
    </w:p>
    <w:p>
      <w:r>
        <w:rPr>
          <w:b/>
        </w:rPr>
        <w:t>Treinta y cuatro salieron al juzgarlos sobre su publicación.</w:t>
      </w:r>
      <w:r>
        <w:t xml:space="preserve"> Se excluyeron por ocho motivos, y ninguno es una discrepancia de criterio: son estudios que no cumplen lo que la sección 2.2 ya exigía. </w:t>
      </w:r>
      <w:r>
        <w:rPr>
          <w:b/>
        </w:rPr>
        <w:t>Veintinueve</w:t>
      </w:r>
      <w:r>
        <w:t xml:space="preserve"> salieron de leer su artículo. </w:t>
      </w:r>
      <w:r>
        <w:rPr>
          <w:b/>
        </w:rPr>
        <w:t>Quince</w:t>
      </w:r>
      <w:r>
        <w:t xml:space="preserve"> no tienen a </w:t>
      </w:r>
      <w:r>
        <w:rPr>
          <w:i/>
        </w:rPr>
        <w:t>P. aeruginosa</w:t>
      </w:r>
      <w:r>
        <w:t xml:space="preserve"> en ningún paciente —aparece en el espectro declarado del producto de fagos, en la introducción, en la discusión o en la lista de referencias—; uno de ellos no nombra microorganismo alguno. Cuatro de ellos se detectaron al comprobar la clase de resistencia contra el artículo (sección 3.4), y los excluyeron los dos autores el 1 de octubre de 2026. </w:t>
      </w:r>
      <w:r>
        <w:rPr>
          <w:b/>
        </w:rPr>
        <w:t>Cinco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eran </w:t>
      </w:r>
      <w:r>
        <w:rPr>
          <w:b/>
        </w:rPr>
        <w:t>29 de los 95 estudios extraíbles de entonces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27 son la otra cara de esa limitación, y son el </w:t>
      </w:r>
      <w:r>
        <w:rPr>
          <w:b/>
        </w:rPr>
        <w:t>29,0 %</w:t>
      </w:r>
      <w:r>
        <w:t xml:space="preserve"> de los 93 estudios cuyo texto completo se pudo leer. Es un suelo, no un total: los 31 estudios sin texto completo no se han podido comprobar contra nada.</w:t>
      </w:r>
    </w:p>
    <w:p>
      <w:r>
        <w:rPr>
          <w:b/>
        </w:rPr>
        <w:t>Otros 17 estudios salieron por una vía distinta: la ficha de su registro.</w:t>
      </w:r>
      <w:r>
        <w:t xml:space="preserve"> Los 29 anteriores se juzgaron sobre el artículo; estos no tienen artículo.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se descargó la ficha completa de cada una de ClinicalTrials.gov y del registro europeo CTIS, y se leyeron una por una. </w:t>
      </w:r>
      <w:r>
        <w:rPr>
          <w:b/>
        </w:rPr>
        <w:t>12</w:t>
      </w:r>
      <w:r>
        <w:t xml:space="preserve"> nombran a </w:t>
      </w:r>
      <w:r>
        <w:rPr>
          <w:i/>
        </w:rPr>
        <w:t>P. aeruginosa</w:t>
      </w:r>
      <w:r>
        <w:t xml:space="preserve"> entre los organismos de la población que van a tratar y se quedan.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De los 132 estudios, </w:t>
      </w:r>
      <w:r>
        <w:rPr>
          <w:b/>
        </w:rPr>
        <w:t>90 tienen publicación recuperable</w:t>
      </w:r>
      <w:r>
        <w:t xml:space="preserve">: 87 artículos y 3 que solo existen como resumen de congreso. Los </w:t>
      </w:r>
      <w:r>
        <w:rPr>
          <w:b/>
        </w:rPr>
        <w:t>42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66 de los 90 estudios recuperables (73,3 %)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9 estudios comparativos, el </w:t>
      </w:r>
      <w:r>
        <w:rPr>
          <w:b/>
        </w:rPr>
        <w:t>66,7 %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40 reportes de caso único (44,4 %)</w:t>
      </w:r>
      <w:r>
        <w:t xml:space="preserve">, 18 series de casos, 12 cohortes prospectivas, 7 ensayos aleatorizados, 2 ensayos no aleatorizados y 3 cohortes retrospectivas. Otros 8 no declaran su diseño de forma reconocible en el resumen. Los comparativos suman </w:t>
      </w:r>
      <w:r>
        <w:rPr>
          <w:b/>
        </w:rPr>
        <w:t>9 estudios, el 10,0 %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74,4 %</w:t>
      </w:r>
      <w:r>
        <w:t xml:space="preserve"> de los estudios: el 60,0 % no la menciona en absoluto y un 14,4 %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51,1 %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35,6 %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97,8 %</w:t>
      </w:r>
      <w:r>
        <w:t>.</w:t>
      </w:r>
    </w:p>
    <w:p>
      <w: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 Esa categoría no es solo descriptiva: es el criterio de población de la revisión. </w:t>
      </w:r>
      <w:r>
        <w:rPr>
          <w:b/>
        </w:rPr>
        <w:t>En 8 de los 98 brazos la clase queda por debajo del umbral de multirresistencia</w:t>
      </w:r>
      <w: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la permanencia de EST-106, que pasó por debajo del umbral al resolverse su clase ese mismo día, está pendiente de la firma de los dos autores. Todos se declaran aquí para que el lector pueda descontarlos.</w:t>
      </w:r>
    </w:p>
    <w:p>
      <w:r>
        <w:rPr>
          <w:b/>
        </w:rPr>
        <w:t>La clase se comprobó después contra el artículo.</w:t>
      </w:r>
      <w: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i/>
        </w:rPr>
        <w:t>P. aeruginosa</w:t>
      </w:r>
      <w:r>
        <w:t xml:space="preserve"> tratado con fagos. Los dos autores excluyeron 4 con el código ORG (EST-009, EST-055, EST-181 y EST-208; sección 3.1.1) y mantuvieron 5, que se declaran aquí con lo que el artículo dice: en EST-152 y EST-170 la única mención de </w:t>
      </w:r>
      <w:r>
        <w:rPr>
          <w:i/>
        </w:rPr>
        <w:t>P. aeruginosa</w:t>
      </w:r>
      <w:r>
        <w:t xml:space="preserve"> es la descripción del paciente de otro estudio del corpus (EST-049 y EST-106); en EST-132 solo figura en la composición del cóctel empírico, sin desglose por organismo, y en EST-129 y EST-135 el paciente tuvo </w:t>
      </w:r>
      <w:r>
        <w:rPr>
          <w:i/>
        </w:rPr>
        <w:t>P. aeruginosa</w:t>
      </w:r>
      <w:r>
        <w:t xml:space="preserve">, pero el fago no se dirigió contra ella. Lo mismo ocurre en EST-051 y EST-096, que también se mantienen. De los 66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5 restantes son los mantenidos sin </w:t>
      </w:r>
      <w:r>
        <w:rPr>
          <w:i/>
        </w:rPr>
        <w:t>P. aeruginosa</w:t>
      </w:r>
      <w: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98 brazos del corpus vigente.</w:t>
      </w:r>
    </w:p>
    <w:p>
      <w:r>
        <w:t xml:space="preserve">La completitud es desigual y, en el mejor de los casos, parcial. Los eventos adversos son lo que más se reporta con denominador (77,6 % de los brazos) y la emergencia de resistencia al fago lo que menos (26,5 %), pese a ser el desenlace que decide si la intervención conserva su utilidad. Esos porcentajes se calculan sobre los 98 brazos, e incluyen por tanto 24 de estudios cuyo texto completo no se ha recuperado: de un artículo que no se ha podido leer no cabe afirmar que calle. Sobre los 74 brazos legibles las cifras suben —del 77,6 % al 89,2 % en eventos adversos, del 26,5 % al 35,1 % en resistencia—, y la tabla 5 da las dos columnas para que el lector distinga el silencio de la literatura del hueco documental de esta revisión. El éxito clínico, que es el que las síntesis publicadas agregan, consta con numerador y denominador en el 68,4 %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b/>
        </w:rPr>
        <w:t>hoy ningún brazo declara una proporción imposible</w:t>
      </w:r>
      <w: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r>
        <w:t xml:space="preserve">Ese 68,4 % es, sin embargo, engañoso si se lee como disponibilidad para agregar. </w:t>
      </w:r>
      <w:r>
        <w:rPr>
          <w:b/>
        </w:rPr>
        <w:t>En 68 de los 98 brazos (69,4 %) no consta una definición operativa de éxito clínico</w:t>
      </w:r>
      <w:r>
        <w:t>; sobre los 74 brazos legibles, en 44 (59,5 %). En 47 de ellos los revisores lo establecieron leyendo el artículo: 46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12 de los 98 brazos no puede clasificarse —los dos revisores acordaron «NA» en los 12—, de modo que los recuentos por diseño son suelos sobre los 86 restantes. De esos 86, </w:t>
      </w:r>
      <w:r>
        <w:rPr>
          <w:b/>
        </w:rPr>
        <w:t>7 brazos son ensayos</w:t>
      </w:r>
      <w:r>
        <w:t xml:space="preserve"> (aleatorizados o no) y </w:t>
      </w:r>
      <w:r>
        <w:rPr>
          <w:b/>
        </w:rPr>
        <w:t>9 son cohortes</w:t>
      </w:r>
      <w:r>
        <w:t>. La sección 3.3 y la tabla 1 llaman «comparativos» solo a los ensayos, y por eso allí la cifra es 11 estudios: cuando en esta sección se dice «comparativo» se incluyen también las cohortes, y son 16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98</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98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3 estudios evaluados con RoB 2, el juicio global es de bajo riesgo en 1 y de algunas preocupaciones en 2. De los 7 estudios evaluados con ROBINS-I, el juicio global es sin información para juzgar en 1 y de riesgo grave en 6. El dominio que más juicios desfavorables concentra en ROBINS-I —alto riesgo en RoB 2; grave o crítico en ROBINS-I— es «sesgo por confusión», con 6 de 7. Los dos revisores evaluaron por separado 9 de los 10 estudios evaluables y coincidieron en 55 de los 66 juicios comparables (83,3 %; kappa de Cohen 0,77). Los 11 restantes se discutieron uno a uno y se resolvieron por consenso, los 11 en la misma dirección. El estudio restante se evaluó en un cuaderno aparte y tiene una sola lectura.</w:t>
      </w:r>
    </w:p>
    <w:p>
      <w:r>
        <w:t xml:space="preserve">La etiqueta de diseño no garantiza un grupo de comparación: de los 10 evaluables, 4 lo tienen (EST-008, EST-021, EST-108 y EST-132) y en 6 las notas firmadas del dominio 1 declaran que no lo hay. De los 4 con grupo, 3 comparan fago con ausencia de fago —EST-108 compara con y sin antibiótico dentro de los tratados con fago—, y solo 2 dan un contraste entre brazos para </w:t>
      </w:r>
      <w:r>
        <w:rPr>
          <w:i/>
        </w:rPr>
        <w:t>P. aeruginosa</w:t>
      </w:r>
      <w:r>
        <w:t xml:space="preserve"> (EST-008 y EST-021; el de EST-008, parcial): en EST-132 el artículo no desglosa por organismo.</w:t>
      </w:r>
    </w:p>
    <w:p>
      <w:r>
        <w:rPr>
          <w:b/>
        </w:rPr>
        <w:t>Tabla 7.</w:t>
      </w:r>
      <w:r>
        <w:t xml:space="preserve"> Riesgo de sesgo por dominio de los 10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132 estudios frente a las decenas que manejan las revisiones publicadas, y habrían sido 218 sin la restricción de idioma que se adoptó al final y sin los 51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132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siete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la concordancia previa al consenso fue del 83,3 % (55 de 66 juicios; kappa de Cohen 0,77), con 11 desacuerdos resueltos todos en la misma dirección. </w:t>
      </w:r>
      <w:r>
        <w:rPr>
          <w:b/>
        </w:rPr>
        <w:t>Quinta:</w:t>
      </w:r>
      <w:r>
        <w:t xml:space="preserve"> el texto completo se obtuvo para el 73,3 %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 </w:t>
      </w:r>
      <w:r>
        <w:rPr>
          <w:b/>
        </w:rPr>
        <w:t>Séptima:</w:t>
      </w:r>
      <w:r>
        <w:t xml:space="preserve"> el corpus cuenta informes y estudios, no pacientes distintos, y contiene </w:t>
      </w:r>
      <w:r>
        <w:rPr>
          <w:b/>
        </w:rPr>
        <w:t>20 pacientes descritos en más de un estudio</w:t>
      </w:r>
      <w:r>
        <w:t xml:space="preserve">, repartidos entre 18 de los 132.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b/>
        </w:rPr>
        <w:t>7 son estudios de este corpus</w:t>
      </w:r>
      <w:r>
        <w:t xml:space="preserve"> —EST-002, EST-010, EST-016, EST-046, EST-062, EST-124 y EST-164—, que aportan 8 pacientes; a ellos se suma EST-088, publicado después, cuyo paciente coincide en infección, especies y fagos con uno de EST-108. El examen se hizo sobre los 66 textos completos y reunió 31 pares: 16 los marcó un detector por producto, país y cita, y 15 los encontró la lectura. 19 se confirmaron, 12 se descartaron y </w:t>
      </w:r>
      <w:r>
        <w:rPr>
          <w:b/>
        </w:rPr>
        <w:t>ninguno queda sin leer</w:t>
      </w:r>
      <w:r>
        <w:t>; el veredicto de cada par lleva la frase en que se apoya y la firma de los dos autores (anexo S21). Como la revisión no publica ninguna estimación agrupada, la duplicación no altera ninguna cifra de efecto, pero impide leer el corpus como 132 conjuntos disjuntos de pacientes.</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90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98 brazos).</w:t>
      </w:r>
    </w:p>
    <w:p>
      <w:r>
        <w:rPr>
          <w:b/>
        </w:rPr>
        <w:t>Tabla 6.</w:t>
      </w:r>
      <w:r>
        <w:t xml:space="preserve"> Brazos que sobreviven a cada requisito de una proporción agrupada de éxito clínico (n = 98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90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90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cuándo.</w:t>
      </w:r>
    </w:p>
    <w:p>
      <w:pPr>
        <w:pStyle w:val="ListBullet"/>
      </w:pPr>
      <w:r>
        <w:rPr>
          <w:b/>
        </w:rPr>
        <w:t>S4.</w:t>
      </w:r>
      <w:r>
        <w:t xml:space="preserve"> Pre-extracción desde el resumen de los 90 estudios con publicación recuperable, marcada como parcial en cada registro.</w:t>
      </w:r>
    </w:p>
    <w:p>
      <w:pPr>
        <w:pStyle w:val="ListBullet"/>
      </w:pPr>
      <w:r>
        <w:rPr>
          <w:b/>
        </w:rPr>
        <w:t>S5.</w:t>
      </w:r>
      <w:r>
        <w:t xml:space="preserve"> Listado de los 132 estudios con su situación y sus informes agrupados, y de los 51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S16.</w:t>
      </w:r>
      <w:r>
        <w:t xml:space="preserve"> Los 51 estudios que el cribado admitió y el texto completo desmintió, con su código de motivo y la frase del artículo que lo sostiene.</w:t>
      </w:r>
    </w:p>
    <w:p>
      <w:pPr>
        <w:pStyle w:val="ListBullet"/>
      </w:pPr>
      <w:r>
        <w:rPr>
          <w:b/>
        </w:rPr>
        <w:t>S17.</w:t>
      </w:r>
      <w:r>
        <w:t xml:space="preserve"> La Tabla 6 desglosada: los siete requisitos, brazo a brazo sobre los 98 brazos, con el primero que falla y por qué.</w:t>
      </w:r>
    </w:p>
    <w:p>
      <w:pPr>
        <w:pStyle w:val="ListBullet"/>
      </w:pPr>
      <w:r>
        <w:rPr>
          <w:b/>
        </w:rPr>
        <w:t>S18.</w:t>
      </w:r>
      <w:r>
        <w:t xml:space="preserve"> Los 74 juicios de riesgo de sesgo, uno por fila, con la frase firmada en que se apoya cada uno.</w:t>
      </w:r>
    </w:p>
    <w:p>
      <w:pPr>
        <w:pStyle w:val="ListBullet"/>
      </w:pPr>
      <w:r>
        <w:rPr>
          <w:b/>
        </w:rPr>
        <w:t>S18b.</w:t>
      </w:r>
      <w:r>
        <w:t xml:space="preserve"> Las frases del artículo cosechadas por tema, que acompañan pero no sustituyen a la firmada.</w:t>
      </w:r>
    </w:p>
    <w:p>
      <w:pPr>
        <w:pStyle w:val="ListBullet"/>
      </w:pPr>
      <w:r>
        <w:rPr>
          <w:b/>
        </w:rPr>
        <w:t>S19.</w:t>
      </w:r>
      <w:r>
        <w:t xml:space="preserve"> Qué modelo emitió las decisiones de cribado, cuándo, sobre qué ficheros, qué verificaron los autores y qué NO quedó registrado, marcado como dato faltante.</w:t>
      </w:r>
    </w:p>
    <w:p>
      <w:pPr>
        <w:pStyle w:val="ListBullet"/>
      </w:pPr>
      <w:r>
        <w:rPr>
          <w:b/>
        </w:rPr>
        <w:t>S20.</w:t>
      </w:r>
      <w:r>
        <w:t xml:space="preserve"> De qué informe salió cada uno de los 98 brazos, y con qué prueba se estableció el vínculo.</w:t>
      </w:r>
    </w:p>
    <w:p>
      <w:pPr>
        <w:pStyle w:val="ListBullet"/>
      </w:pPr>
      <w:r>
        <w:rPr>
          <w:b/>
        </w:rPr>
        <w:t>S21.</w:t>
      </w:r>
      <w:r>
        <w:t xml:space="preserve"> Los 31 pares de estudios que podían describir a los mismos pacientes, con la señal que los marcó, el veredicto tras leer los dos artículos, los pacientes compartidos y la frase firmada en que se apoya.</w:t>
      </w:r>
    </w:p>
    <w:p>
      <w:pPr>
        <w:pStyle w:val="ListBullet"/>
      </w:pPr>
      <w:r>
        <w:rPr>
          <w:b/>
        </w:rPr>
        <w:t>S22.</w:t>
      </w:r>
      <w:r>
        <w:t xml:space="preserve"> Para cada variable de estratificación, cuántos estudios la declaran en el texto completo, cuántos la mencionan sin poder clasificarla, cuántos callan y de cuántos no hay texto.</w:t>
      </w:r>
    </w:p>
    <w:p>
      <w:pPr>
        <w:pStyle w:val="ListBullet"/>
      </w:pPr>
      <w:r>
        <w:rPr>
          <w:b/>
        </w:rPr>
        <w:t>S23.</w:t>
      </w:r>
      <w:r>
        <w:t xml:space="preserve"> La clase de resistencia de los 70 estudios que tenían texto completo, comprobada contra el antibiograma del artículo: la conclusión firmada, la frase o la tabla en que se apoya, cómo se codificó y qué cambió en la extracción.</w:t>
      </w:r>
    </w:p>
    <w:p>
      <w:pPr>
        <w:pStyle w:val="ListBullet"/>
      </w:pPr>
      <w:r>
        <w:rPr>
          <w:b/>
        </w:rPr>
        <w:t>S24.</w:t>
      </w:r>
      <w:r>
        <w:t xml:space="preserve"> Los 14 estudios con diseño comparativo, reextraídos: comparador, asignación, tiempo cero, tiempo de evaluación, cointervenciones, pérdidas, estimando y si hay un contraste para </w:t>
      </w:r>
      <w:r>
        <w:rPr>
          <w:i/>
        </w:rPr>
        <w:t>P. aeruginosa</w:t>
      </w:r>
      <w:r>
        <w:t>.</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