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6 920.</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39 left the corpus</w:t>
      </w:r>
      <w:r>
        <w:t xml:space="preserve"> —protocols, preclinical models, and articles where </w:t>
      </w:r>
      <w:r>
        <w:rPr>
          <w:i/>
        </w:rPr>
        <w:t>P. aeruginosa</w:t>
      </w:r>
      <w:r>
        <w:t xml:space="preserve"> appears only in the product's declared spectrum—, leaving </w:t>
      </w:r>
      <w:r>
        <w:rPr>
          <w:b/>
        </w:rPr>
        <w:t>145</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14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145 to 121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39 of them left the corpus</w:t>
      </w:r>
      <w:r>
        <w:t xml:space="preserve"> and were excluded; the next subsection details them. The evidence base stands at </w:t>
      </w:r>
      <w:r>
        <w:rPr>
          <w:b/>
        </w:rPr>
        <w:t>145 studies</w:t>
      </w:r>
      <w:r>
        <w:t>, grouping 179 reports: 123 with a single report and 22 with several, up to a maximum of eleven reports of one trial.</w:t>
      </w:r>
    </w:p>
    <w:p>
      <w:pPr>
        <w:pStyle w:val="Heading2"/>
      </w:pPr>
      <w:r>
        <w:t>3.1.1 The 39 studies the screening admitted and that later left</w:t>
      </w:r>
    </w:p>
    <w:p>
      <w:r>
        <w:rPr>
          <w:b/>
        </w:rPr>
        <w:t>Twenty-nine left when judged on their publication.</w:t>
      </w:r>
      <w:r>
        <w:t xml:space="preserve"> They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rPr>
          <w:b/>
        </w:rPr>
        <w:t>Another 10 studies left by a different route: their registry record.</w:t>
      </w:r>
      <w:r>
        <w:t xml:space="preserve"> The earlier ones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w:t>
      </w:r>
      <w:r>
        <w:rPr>
          <w:b/>
        </w:rPr>
        <w:t>10</w:t>
      </w:r>
      <w:r>
        <w:t xml:space="preserve"> do not comply — eight state a different organism in their eligibility criteria (</w:t>
      </w:r>
      <w:r>
        <w:rPr>
          <w:i/>
        </w:rPr>
        <w:t>S. aureus</w:t>
      </w:r>
      <w:r>
        <w:t xml:space="preserve">, </w:t>
      </w:r>
      <w:r>
        <w:rPr>
          <w:i/>
        </w:rPr>
        <w:t>S. epidermidis</w:t>
      </w:r>
      <w:r>
        <w:t xml:space="preserve">, </w:t>
      </w:r>
      <w:r>
        <w:rPr>
          <w:i/>
        </w:rPr>
        <w:t>E. coli</w:t>
      </w:r>
      <w:r>
        <w:t xml:space="preserve">, ESBL-producing Enterobacteriaceae, nontuberculous mycobacteria) and two do not evaluate phage therapy in patients, one being a biobank and the other an observational study whose registered intervention is «none» —; and in </w:t>
      </w:r>
      <w:r>
        <w:rPr>
          <w:b/>
        </w:rPr>
        <w:t>7</w:t>
      </w:r>
      <w:r>
        <w:t xml:space="preserve"> the record states no organism at all, so the criterion can be verified neither for nor against. The clearest of the 10 is a phage trial against </w:t>
      </w:r>
      <w:r>
        <w:rPr>
          <w:i/>
        </w:rPr>
        <w:t>E. coli</w:t>
      </w:r>
      <w:r>
        <w:t xml:space="preserve"> in children with diarrhoea, whose indexed title — «Antibacterial Treatment Against Diarrhea in Oral Rehydration Solution» — does not let you tell. The 29 records travel with the supplementary material, and the literal sentence of the registry supporting each judgement is filed beside them.</w:t>
      </w:r>
    </w:p>
    <w:p>
      <w:r>
        <w:t xml:space="preserve">Of the 145 studies, </w:t>
      </w:r>
      <w:r>
        <w:rPr>
          <w:b/>
        </w:rPr>
        <w:t>95 have a retrievable publication</w:t>
      </w:r>
      <w:r>
        <w:t xml:space="preserve">: 92 articles and 3 that exist only as conference abstracts. The remaining </w:t>
      </w:r>
      <w:r>
        <w:rPr>
          <w:b/>
        </w:rPr>
        <w:t>50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(78.6 %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103 arms it cannot be classified — 13 where both reviewers agreed on "NA" and 8 still open — so the design counts are floors over the remaining 82. Of those 91, </w:t>
      </w:r>
      <w:r>
        <w:rPr>
          <w:b/>
        </w:rPr>
        <w:t>8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18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8 studies assessed with ROBINS-I, the overall judgement is moderate risk in 2 and serious risk in 6. The domain concentrating most unfavourable judgements —high risk under RoB 2; serious or critical under ROBINS-I— in ROBINS-I is “bias due to confounding”, in 6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145 studies against the dozens handled by published reviews, and would have been 219 without the language restriction adopted at the end and without the 39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50 of 145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