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296; texto principal 4 359.</w:t>
      </w:r>
    </w:p>
    <w:p>
      <w:r>
        <w:rPr>
          <w:b/>
        </w:rPr>
        <w:t>Tablas:</w:t>
      </w:r>
      <w:r>
        <w:t xml:space="preserve"> 4. </w:t>
      </w:r>
      <w:r>
        <w:rPr>
          <w:b/>
        </w:rPr>
        <w:t>Figuras:</w:t>
      </w:r>
      <w:r>
        <w:t xml:space="preserve"> 2. </w:t>
      </w:r>
      <w:r>
        <w:rPr>
          <w:b/>
        </w:rPr>
        <w:t>Material suplementario:</w:t>
      </w:r>
      <w:r>
        <w:t xml:space="preserve"> 6 archivos.</w:t>
      </w:r>
    </w:p>
    <w:p>
      <w:pPr>
        <w:pStyle w:val="Heading1"/>
      </w:pPr>
      <w:r>
        <w:t>Resumen</w:t>
      </w:r>
    </w:p>
    <w:p>
      <w:r>
        <w:rPr>
          <w:b/>
        </w:rPr>
        <w:t>Antecedentes.</w:t>
      </w:r>
      <w:r>
        <w:t xml:space="preserve"> </w:t>
      </w:r>
      <w:r>
        <w:rPr>
          <w:i/>
        </w:rPr>
        <w:t>Pseudomonas aeruginosa</w:t>
      </w:r>
      <w:r>
        <w:t xml:space="preserve"> multirresistente es un patógeno de prioridad crítica de la OMS.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nueve fuentes sin restricción de fecha, incluidas BVS y SciELO. Solo se admitieron informes en inglés o español, criterio incorporado como enmienda posterior al cribado y verificado informe a informe, también sobre el texto completo de cada PDF. La unidad de inclusión fue el estudio, no el informe. </w:t>
      </w:r>
      <w:r>
        <w:rPr>
          <w:b/>
        </w:rPr>
        <w:t>El cribado de títulos y resúmenes lo emitió un modelo de lenguaje como revisor único, sin duplicación independiente</w:t>
      </w:r>
      <w:r>
        <w:t>; la extracción se realiza a mano y por duplicado.</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la clase de resistencia en el 70,2 %. Se obtuvo el texto completo de 89 estudios (71,8 %); la fracción restante concentra el 47,8 % de los diseños comparativos. El criterio de idioma eliminó 35 estudios, 18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ocupa un lugar estable entre los patógenos prioritarios de la Organización Mundial de la Salud [@Tacconelli2018_who; @WHO2024_bppl].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@Krakhotkin2025_currurol].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completitud de reporte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Esta revisión se condujo conforme a la declaración PRISMA 2020 [@Page2021_prisma]. La lista de comprobación completa acompaña al manuscrito como material suplementario.</w:t>
      </w:r>
    </w:p>
    <w:p>
      <w:r>
        <w:rPr>
          <w:b/>
        </w:rPr>
        <w:t>Esta revisión no está registrada</w:t>
      </w:r>
      <w:r>
        <w:t xml:space="preserve"> en PROSPERO ni en OSF. Se declara la ausencia en lugar de omitirla porque el registro prospectivo es una salvaguarda contra la modificación </w:t>
      </w:r>
      <w:r>
        <w:rPr>
          <w:i/>
        </w:rPr>
        <w:t>post hoc</w:t>
      </w:r>
      <w:r>
        <w:t xml:space="preserve"> de los desenlaces, y su ausencia es información que el lector necesita para calibrar la revisión. El protocolo, las decisiones metodológicas y sus fechas quedaron registrados de forma inalterable en el repositorio de trabajo desde el inicio (sección 2.7).</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nueve fuentes en las dos corrientes que PRISMA 2020 exige separar. Como </w:t>
      </w:r>
      <w:r>
        <w:rPr>
          <w:b/>
        </w:rPr>
        <w:t>bases bibliográficas</w:t>
      </w:r>
      <w:r>
        <w:t xml:space="preserve">: PubMed, Scopus en dos brazos (uno con el organismo primero y otro con la intervención primero), Cochrane CENTRAL, BVS con LILACS, CUMED, BINACIS y MedCarib, y SciELO. Como </w:t>
      </w:r>
      <w:r>
        <w:rPr>
          <w:b/>
        </w:rPr>
        <w:t>registros de ensayos</w:t>
      </w:r>
      <w:r>
        <w:t>: ClinicalTrials.gov, EudraCT y CTIS. No se restringió el idioma, la fecha ni el tipo de publicación. La última ejecución fue el 10 de agosto de 2026.</w:t>
      </w:r>
    </w:p>
    <w:p>
      <w:r>
        <w:rPr>
          <w:b/>
        </w:rPr>
        <w:t>Las ecuaciones de búsqueda las diseñó y ejecutó D.V.</w:t>
      </w:r>
      <w:r>
        <w:t>, autor de esta revisión, interrogando cada interfaz directamente. No las generó ni las ejecutó el modelo de lenguaje cuya intervención se declara en la sección 2.4: qué buscar, en qué fuentes y con qué sintaxis fue una decisión de los autores, tomada antes de cribar y fijada por escrito. Las ecuaciones completas se aportan como suplemento, con la sintaxis literal de cada interfaz, el número de resultados y la fecha en que se corrió, de modo que cualquiera puede repetirlas. Incluir BVS y SciELO fue una decisión deliberada. La experiencia clínica con fagos publicada en Europa del Este e Iberoamérica está sistemáticamente subrepresentada en PubMed y Scopus, y dejarla fuera habría inclinado la revisión hacia la literatura anglosajona sin decirlo.</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rPr>
          <w:b/>
        </w:rPr>
        <w:t>Quién tomó cada decisión.</w:t>
      </w:r>
      <w:r>
        <w:t xml:space="preserve"> La etapa 1 es determinista: la ejecuta un script y cada exclusión nombra la regla que disparó, de modo que cualquiera puede reejecutarla y obtener el mismo resultado. Las etapas 2 y 3, que son las que exigen juicio, </w:t>
      </w:r>
      <w:r>
        <w:rPr>
          <w:b/>
        </w:rPr>
        <w:t>las realizó un modelo de lenguaje —Claude Opus 5, de Anthropic— actuando como revisor único y sin duplicación independiente</w:t>
      </w:r>
      <w:r>
        <w:t>:13 917 decisiones sobre títulos entre el 4 y el 10 de agosto de 2026 y 460 sobre resúmenes el 5 de agosto. El modelo recibió el título, el resumen y los metadatos de cada registro, y solo pudo elegir entre los seis códigos del vocabulario cerrado. Cada decisión quedó registrada con su motivo, el modelo que la emitió y su marca de tiempo, en un registro solo-anexar que se aporta íntegro (S3).</w:t>
      </w:r>
    </w:p>
    <w:p>
      <w:r>
        <w:rPr>
          <w:b/>
        </w:rPr>
        <w:t>Ningún revisor humano adjudicó decisiones de cribado individuales, y la concordancia entre el modelo y un lector humano no se midió.</w:t>
      </w:r>
      <w:r>
        <w:t xml:space="preserve"> Esa comprobación es la que un cribado por duplicado aporta y aquí no existe. Lo que sí existe, y es lo que sostiene la afirmación de que el cribado no perdió estudios elegibles, es la auditoría de control positivo de la sección 2.5: se comprobó tras cada etapa que ninguno de los 40 estudios conocidos de antemano perdiera todos sus informes. Una auditoría de controles positivos acota el falso negativo sobre estudios conocidos; no lo acota sobre los desconocidos, ni dice nada sobre el falso positivo. El lector debe calibrar la selección con esa salvedad, y la sección 4.4 la recoge como limitación.</w:t>
      </w:r>
    </w:p>
    <w:p>
      <w:r>
        <w:t>La extracción de datos, en cambio, la realizan los dos autores por duplicado e independiente,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pStyle w:val="Heading2"/>
      </w:pPr>
      <w:r>
        <w:t>2.6 Extracción de datos</w:t>
      </w:r>
    </w:p>
    <w:p>
      <w:r>
        <w:t xml:space="preserve">El formulario de extracción, con 31 variables y vocabularios controlados, se piloteó sobre cinco estudios antes de su uso. La extracción está planificada </w:t>
      </w:r>
      <w:r>
        <w:rPr>
          <w:b/>
        </w:rPr>
        <w:t>por duplicado e independiente</w:t>
      </w:r>
      <w:r>
        <w:t xml:space="preserve"> entre los dos revisores, con resolución de discrepancias por consenso y cálculo de la concordancia (kappa de Cohen) variable a variable.</w:t>
      </w:r>
    </w:p>
    <w:p>
      <w:r>
        <w:rPr>
          <w:b/>
        </w:rPr>
        <w:t>Estado en el momento de este informe.</w:t>
      </w:r>
      <w:r>
        <w:t xml:space="preserve"> La extracción por duplicado está en curso y </w:t>
      </w:r>
      <w:r>
        <w:rPr>
          <w:b/>
        </w:rPr>
        <w:t>no ha concluido</w:t>
      </w:r>
      <w:r>
        <w:t xml:space="preserve">. Los datos que se reportan aquí proceden de una pre-extracción sistemática desde el resumen de los 124 estudios con publicación recuperable, realizada con el mismo esquema de variables y marcada de forma explícita como parcial en cada registro. En consecuencia, </w:t>
      </w:r>
      <w:r>
        <w:rPr>
          <w:b/>
        </w:rPr>
        <w:t>este informe no presenta estimaciones de eficacia</w:t>
      </w:r>
      <w:r>
        <w:t>: presenta la estructura del cuerpo de evidencia y su completitud de reporte, que es lo que la pre-extracción sí sostiene. Las variables de desenlace se reportarán cuando la extracción por duplicado concluya.</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89 de los 124 estudios recuperables (71,8 %)</w:t>
      </w:r>
      <w:r>
        <w:t xml:space="preserve"> por vías de acceso abierto legítimas. Los 35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consta en el </w:t>
      </w:r>
      <w:r>
        <w:rPr>
          <w:b/>
        </w:rPr>
        <w:t>70,2 %</w:t>
      </w:r>
      <w:r>
        <w:t xml:space="preserve"> de los estudios.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«Éxito clínico» abarca en esta literatura desde la resolución de una fístula a dos años hasta la ausencia de fiebre a los tres días. Sin una definición común, la proporción agrupada suma numeradores que no cuentan lo mismo.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Siete de cada diez no declaran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@Krakhotkin2025_currurol].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revisión no está registrada prospectivamente. </w:t>
      </w:r>
      <w:r>
        <w:rPr>
          <w:b/>
        </w:rPr>
        <w:t>Segunda:</w:t>
      </w:r>
      <w:r>
        <w:t xml:space="preserve"> la extracción por duplicado no ha concluido, de modo que este informe no presenta desenlaces, ni riesgo de sesgo, ni certeza GRADE. Es una caracterización del cuerpo de evidencia, no una síntesis de sus resultados. </w:t>
      </w:r>
      <w:r>
        <w:rPr>
          <w:b/>
        </w:rPr>
        <w:t>Tercera:</w:t>
      </w:r>
      <w:r>
        <w:t xml:space="preserve"> el texto completo se obtuvo para el 71,8 % de los estudios recuperables, y la fracción faltante está enriquecida en diseños comparativos, de manera que lo descrito aquí subrepresenta la parte comparativa del campo. </w:t>
      </w:r>
      <w:r>
        <w:rPr>
          <w:b/>
        </w:rPr>
        <w:t>Cuarta:</w:t>
      </w:r>
      <w:r>
        <w:t xml:space="preserve"> el cribado de títulos y resúmenes lo emitió un modelo de lenguaje como revisor único, sin duplicación independiente y sin que ningún revisor humano adjudicara decisiones individuales (sección 2.4). La concordancia entre el modelo y un lector humano no se midió, de modo que no puede cuantificarse cuántos estudios elegibles se perdieron ni cuántos no elegibles avanzaron. La auditoría de controles positivos acota lo primero solo sobre los 40 estudios conocidos de antemano. Es la limitación más seria de esta revisión y afecta a la delimitación del corpus, no solo a su descripción; la extracción de datos sí se realiza por duplicado y a mano. </w:t>
      </w:r>
      <w:r>
        <w:rPr>
          <w:b/>
        </w:rPr>
        <w:t>Quinta:</w:t>
      </w:r>
      <w:r>
        <w:t xml:space="preserve"> la restricción a inglés y español se adoptó cuando el cribado ya había terminado, y eliminó 35 estudios, 18 de ellos comparativos y uno perteneciente al conjunto de control positivo. Empuja el corpus en la misma dirección que el sesgo de recuperación y reduce lo que esta revisión puede decir sobre la literatura de Europa del Este, que es donde se concentran los diseños con comparador.</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Conflictos de interés.</w:t>
      </w:r>
      <w:r>
        <w:t xml:space="preserve"> Los autores declaran no tener conflictos de interés.</w:t>
      </w:r>
    </w:p>
    <w:p>
      <w:r>
        <w:rPr>
          <w:b/>
        </w:rPr>
        <w:t>Contribución de los autores.</w:t>
      </w:r>
      <w:r>
        <w:t xml:space="preserve"> [Pendiente de completar conforme a CRediT antes del envío.]</w:t>
      </w:r>
    </w:p>
    <w:p>
      <w:r>
        <w:rPr>
          <w:b/>
        </w:rPr>
        <w:t>Disponibilidad de datos y código.</w:t>
      </w:r>
      <w:r>
        <w:t xml:space="preserve"> El corpus de cribado, los registros de decisión completos, el formulario de extracción y todo el código del canal están disponibles en el repositorio del proyecto. Los registros de decisión son solo-anexar y conservan cada corrección.</w:t>
      </w:r>
    </w:p>
    <w:p>
      <w:r>
        <w:rPr>
          <w:b/>
        </w:rPr>
        <w:t>Uso de inteligencia artificial.</w:t>
      </w:r>
      <w:r>
        <w:t xml:space="preserve"> Se empleó un modelo de lenguaje generativo (Claude Opus 5, Anthropic) en cuatro tareas, y conviene distinguirlas porque no comprometen al trabajo por igual.</w:t>
      </w:r>
    </w:p>
    <w:p>
      <w:r>
        <w:rPr>
          <w:i/>
        </w:rPr>
        <w:t>Emitiendo juicios que determinan el corpus:</w:t>
      </w:r>
      <w:r>
        <w:t xml:space="preserve"> el modelo cribó títulos y resúmenes como </w:t>
      </w:r>
      <w:r>
        <w:rPr>
          <w:b/>
        </w:rPr>
        <w:t>revisor único y sin duplicación independiente</w:t>
      </w:r>
      <w:r>
        <w:t xml:space="preserve"> —13 917 decisiones de título y 460 de resumen— y realizó la pre-extracción desde resúmenes. Estas decisiones </w:t>
      </w:r>
      <w:r>
        <w:rPr>
          <w:b/>
        </w:rPr>
        <w:t>no fueron adjudicadas individualmente por un revisor humano</w:t>
      </w:r>
      <w:r>
        <w:t>. Están registradas una a una, con su motivo, el modelo y su marca de tiempo, y se aportan íntegras (S3, S4). El detalle y sus consecuencias figuran en las secciones 2.4 y 4.4.</w:t>
      </w:r>
    </w:p>
    <w:p>
      <w:r>
        <w:rPr>
          <w:i/>
        </w:rPr>
        <w:t>Sin emitir juicios:</w:t>
      </w:r>
      <w:r>
        <w:t xml:space="preserve"> asistencia en la programación del canal y en la redacción de borradores.</w:t>
      </w:r>
    </w:p>
    <w:p>
      <w:r>
        <w:rPr>
          <w:i/>
        </w:rPr>
        <w:t>Sin intervención del modelo:</w:t>
      </w:r>
      <w:r>
        <w:t xml:space="preserve"> el diseño y la ejecución de las búsquedas, que realizó D.V. interrogando cada interfaz (sección 2.3); la fijación de los criterios de elegibilidad y del vocabulario de exclusión, anteriores al cribado; y la extracción de datos, que realizan los dos autores por duplicado.</w:t>
      </w:r>
    </w:p>
    <w:p>
      <w:r>
        <w:t>Los autores diseñaron la revisión, fijaron los criterios y el vocabulario de exclusión antes de empezar, realizan la extracción de datos por duplicado sin intervención del modelo, y asumen la responsabilidad íntegra por la exactitud e integridad del trabajo. Ninguna herramienta de IA figura como autora, conforme a las recomendaciones del ICMJE.</w:t>
      </w:r>
    </w:p>
    <w:p>
      <w:r>
        <w:rPr>
          <w:b/>
        </w:rPr>
        <w:t>Agradecimientos.</w:t>
      </w:r>
      <w:r>
        <w:t xml:space="preserve"> [Pendiente.]</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t>S1. Lista de comprobación PRISMA 2020.</w:t>
      </w:r>
    </w:p>
    <w:p>
      <w:pPr>
        <w:pStyle w:val="ListBullet"/>
      </w:pPr>
      <w:r>
        <w:t>S2. Ecuaciones de búsqueda literales por base, con fecha y número de resultados.</w:t>
      </w:r>
    </w:p>
    <w:p>
      <w:pPr>
        <w:pStyle w:val="ListBullet"/>
      </w:pPr>
      <w:r>
        <w:t>S3. Registro completo de decisiones de cribado (etapas 1 a 3).</w:t>
      </w:r>
    </w:p>
    <w:p>
      <w:pPr>
        <w:pStyle w:val="ListBullet"/>
      </w:pPr>
      <w:r>
        <w:t>S4. Formulario de extracción y libro de códigos.</w:t>
      </w:r>
    </w:p>
    <w:p>
      <w:pPr>
        <w:pStyle w:val="ListBullet"/>
      </w:pPr>
      <w:r>
        <w:t>S5. Listado de los 219 estudios con su situación y sus informes.</w:t>
      </w:r>
    </w:p>
    <w:p>
      <w:pPr>
        <w:pStyle w:val="ListBullet"/>
      </w:pPr>
      <w:r>
        <w:t>S6. Auditoría de controles positivos.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