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263; texto principal 5 782.</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el cuerpo de evidencia admite agregación, y nadie lo ha examinado.</w:t>
      </w:r>
    </w:p>
    <w:p>
      <w:r>
        <w:rPr>
          <w:b/>
        </w:rPr>
        <w:t>Objetivos.</w:t>
      </w:r>
      <w:r>
        <w:t xml:space="preserve"> Delimitarla de forma reproducible y determinar si su estructura y su reporte admiten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e independiente, con consenso en los desacuerdos; la estructura sale de una pre-extracción desde el resumen y los desenlaces, de la extracción adjudicada.</w:t>
      </w:r>
    </w:p>
    <w:p>
      <w:r>
        <w:rPr>
          <w:b/>
        </w:rPr>
        <w:t>Resultados.</w:t>
      </w:r>
      <w:r>
        <w:t xml:space="preserve"> De 23 057 registros quedaron 17 129 informes únicos; 233 informes formaron 184 estudios, 124 con publicación recuperable. Casos únicos, 39,5 %; comparativos, 18,5 %; sin clase de resistencia asignable, 80,6 %. Se obtuvo el texto completo de 93 (75,0 %) y lo que falta concentra el 47,8 % de los comparativos; el criterio de idioma eliminó 35 estudios, 18 comparativos. En 89 de los 132 brazos (67,4 %) no consta definición operativa del éxito clínico, y solo 3 reúnen diseño comparativo, numerador, denominador y definición. Al aplicarles los criterios de elegibilidad del propio artículo y descontar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124 estudios,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124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3 de los 132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132 brazos extraídos.</w:t>
      </w:r>
    </w:p>
    <w:p>
      <w:r>
        <w:t>La completitud es desigual y, en el mejor de los casos, parcial. Los eventos adversos son lo que más se reporta con denominador (73,5 % de los brazos) y la emergencia de resistencia al fago lo que menos (24,2 %), pese a ser el desenlace que decide si la intervención conserva su utilidad. Esos porcentajes se calculan sobre los 132 brazos, e incluyen por tanto 31 de estudios cuyo texto completo no se ha recuperado: de un artículo que no se ha podido leer no cabe afirmar que calle. Sobre los 101 brazos legibles las cifras suben —del 73,5 % al 84,2 % en eventos adversos, del 24,2 % al 31,7 % en resistencia—, y la tabla 5 da las dos columnas para que el lector distinga el silencio de la literatura del hueco documental de esta revisión. El éxito clínico, que es el que las síntesis publicadas agregan, consta con numerador y denominador en el 62,9 % de los brazos. Dos brazos reportan un numerador mayor que su denominador —trece éxitos clínicos sobre un paciente, y cinco eventos adversos sobre cuatro—; se señalan como error de reporte y no se leen como proporciones.</w:t>
      </w:r>
    </w:p>
    <w:p>
      <w:r>
        <w:t xml:space="preserve">Ese 62,9 % es, sin embargo, engañoso si se lee como disponibilidad para agregar. </w:t>
      </w:r>
      <w:r>
        <w:rPr>
          <w:b/>
        </w:rPr>
        <w:t>En 89 de los 132 brazos (67,4 %) no consta una definición operativa de éxito clínico</w:t>
      </w:r>
      <w:r>
        <w:t>; sobre los 101 brazos legibles, en 59 (58,4 %). En 60 de ellos los revisores lo establecieron leyendo el artículo: 58 declaran un número de pacientes con «buen resultado» sin decir qué había que observar para contarlo, y 2 dejaron el campo sin dato. En los 29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30 de los 132 brazos no puede clasificarse —20 en que los dos revisores acordaron «NA» y 10 que siguen abiertos—, de modo que los recuentos por diseño son suelos sobre los 102 restantes. De esos 102, </w:t>
      </w:r>
      <w:r>
        <w:rPr>
          <w:b/>
        </w:rPr>
        <w:t>13 brazos son ensayos</w:t>
      </w:r>
      <w:r>
        <w:t xml:space="preserve"> (aleatorizados o no) y </w:t>
      </w:r>
      <w:r>
        <w:rPr>
          <w:b/>
        </w:rPr>
        <w:t>11 son cohortes</w:t>
      </w:r>
      <w:r>
        <w:t>. La sección 3.3 y la tabla 1 llaman «comparativos» solo a los ensayos, y por eso allí la cifra es 23 estudios: cuando en esta sección se dice «comparativo» se incluyen también las cohortes, y son 24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3 brazos de los 132</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132 brazos extraídos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132 brazos).</w:t>
      </w:r>
    </w:p>
    <w:p>
      <w:r>
        <w:rPr>
          <w:b/>
        </w:rPr>
        <w:t>Tabla 6.</w:t>
      </w:r>
      <w:r>
        <w:t xml:space="preserve"> Brazos que sobreviven a cada requisito de una proporción agrupada de éxito clínico (n = 132 brazos extraídos).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