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196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157</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97</w:t>
            </w:r>
          </w:p>
        </w:tc>
      </w:tr>
      <w:tr>
        <w:tc>
          <w:tcPr>
            <w:tcW w:type="dxa" w:w="3969"/>
          </w:tcPr>
          <w:p>
            <w:r/>
            <w:r>
              <w:rPr>
                <w:sz w:val="18"/>
              </w:rPr>
              <w:t>Diseños comparativos</w:t>
            </w:r>
          </w:p>
        </w:tc>
        <w:tc>
          <w:tcPr>
            <w:tcW w:type="dxa" w:w="2494"/>
          </w:tcPr>
          <w:p>
            <w:r/>
            <w:r>
              <w:rPr>
                <w:sz w:val="18"/>
              </w:rPr>
              <w:t>41</w:t>
            </w:r>
          </w:p>
        </w:tc>
        <w:tc>
          <w:tcPr>
            <w:tcW w:type="dxa" w:w="2494"/>
          </w:tcPr>
          <w:p>
            <w:r/>
            <w:r>
              <w:rPr>
                <w:sz w:val="18"/>
              </w:rPr>
              <w:t>12</w:t>
            </w:r>
          </w:p>
        </w:tc>
      </w:tr>
      <w:tr>
        <w:tc>
          <w:tcPr>
            <w:tcW w:type="dxa" w:w="3969"/>
          </w:tcPr>
          <w:p>
            <w:r/>
            <w:r>
              <w:rPr>
                <w:sz w:val="18"/>
              </w:rPr>
              <w:t>Ensayos aleatorizados</w:t>
            </w:r>
          </w:p>
        </w:tc>
        <w:tc>
          <w:tcPr>
            <w:tcW w:type="dxa" w:w="2494"/>
          </w:tcPr>
          <w:p>
            <w:r/>
            <w:r>
              <w:rPr>
                <w:sz w:val="18"/>
              </w:rPr>
              <w:t>21</w:t>
            </w:r>
          </w:p>
        </w:tc>
        <w:tc>
          <w:tcPr>
            <w:tcW w:type="dxa" w:w="2494"/>
          </w:tcPr>
          <w:p>
            <w:r/>
            <w:r>
              <w:rPr>
                <w:sz w:val="18"/>
              </w:rPr>
              <w:t>8</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73,2 % obtenido sigue siendo insuficiente y, sobre todo, sesgado: la fracción faltante concentra el 58,3 %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26 textos completos que faltan para que el manuscrito resista la revisión. Los 12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97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