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282; main text 6 074.</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27 did not meet the criteria</w:t>
      </w:r>
      <w:r>
        <w:t xml:space="preserve"> —protocols, preclinical models, and articles where </w:t>
      </w:r>
      <w:r>
        <w:rPr>
          <w:i/>
        </w:rPr>
        <w:t>P. aeruginosa</w:t>
      </w:r>
      <w:r>
        <w:t xml:space="preserve"> appears only in the product's declared spectrum—, leaving </w:t>
      </w:r>
      <w:r>
        <w:rPr>
          <w:b/>
        </w:rPr>
        <w:t>157</w:t>
      </w:r>
      <w:r>
        <w:t xml:space="preserve">, 97 with a retrievable publication. Single case reports, 43.3 %; comparative, 12.4 %; resistance class unassignable, 76.3 %. Full text was obtained for 71 (73.2 %), and what is missing concentrates 58.3 % of the comparative designs; the language criterion removed 35 studies more. In 70 of the 105 arms (66.7 %)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—97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97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26 of the 97 studies with a retrievable publication still lack full text (section 3.2), so an assessment made today would omit a non-random fraction of the corpus. As for GRADE, it rates the certainty of a pooled estimate, and this review presents none: section 3.5 shows that only 2 of the 105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27 of them did not meet the criteria of section 2.2</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Twenty-seven studies the screening admitted and reading refuted</w:t>
      </w:r>
    </w:p>
    <w:p>
      <w:r>
        <w:t xml:space="preserve">The 27 were excluded for seven reasons, and none is a difference of judgement: they are studies that fail what section 2.2 already required. </w:t>
      </w:r>
      <w:r>
        <w:rPr>
          <w:b/>
        </w:rPr>
        <w:t>Twenty-three</w:t>
      </w:r>
      <w:r>
        <w:t xml:space="preserve"> came from reading their full texts.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One</w:t>
      </w:r>
      <w:r>
        <w:t xml:space="preserve"> is an opinion piece with a narrative review.</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97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157 studies, </w:t>
      </w:r>
      <w:r>
        <w:rPr>
          <w:b/>
        </w:rPr>
        <w:t>97 have a retrievable publication</w:t>
      </w:r>
      <w:r>
        <w:t xml:space="preserve">: 94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97 retrievable studies (73.2 %)</w:t>
      </w:r>
      <w:r>
        <w:t xml:space="preserve"> through legitimate open-access routes. The remaining 26 have not been obtained. Their availability was re-checked on 2 September 2026 against three independent indexes — Europe PMC, OpenAlex and Semantic Scholar — and </w:t>
      </w:r>
      <w:r>
        <w:rPr>
          <w:b/>
        </w:rPr>
        <w:t>none of the 27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7 of the 12 comparative studies, </w:t>
      </w:r>
      <w:r>
        <w:rPr>
          <w:b/>
        </w:rPr>
        <w:t>58.3 %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97 retrievable studies were published between </w:t>
      </w:r>
      <w:r>
        <w:rPr>
          <w:b/>
        </w:rPr>
        <w:t>2016 and 2026</w:t>
      </w:r>
      <w:r>
        <w:t xml:space="preserve">, and </w:t>
      </w:r>
      <w:r>
        <w:rPr>
          <w:b/>
        </w:rPr>
        <w:t>79.4 %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(43.3 %)</w:t>
      </w:r>
      <w:r>
        <w:t xml:space="preserve">, 18 case series, 13 prospective cohorts, 8 randomised trials, 4 non-randomised trials and 3 retrospective cohorts. A further 9 do not state a recognisable design in the abstract. Comparative designs total </w:t>
      </w:r>
      <w:r>
        <w:rPr>
          <w:b/>
        </w:rPr>
        <w:t>12 studies, 12.4 %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76.3 %</w:t>
      </w:r>
      <w:r>
        <w:t xml:space="preserve"> of studies: 62.9 % do not mention it at all and a further 13.4 %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40.2 %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(77.1 % of arms) and emergence of phage resistance the least (26.7 %), despite being the outcome that determines whether the intervention retains its usefulness. Those percentages are computed over all 105 arms and therefore include 26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66.7 % of arms. Two arms report a numerator larger than their denominator — thirteen clinical successes in one patient, and five adverse events in four — and are flagged as reporting errors, not read as proportions.</w:t>
      </w:r>
    </w:p>
    <w:p>
      <w:r>
        <w:t xml:space="preserve">That 66.7 % is misleading, however, if read as availability for pooling. </w:t>
      </w:r>
      <w:r>
        <w:rPr>
          <w:b/>
        </w:rPr>
        <w:t>In 70 of the 105 arms (66.7 %)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22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22 of the 105 arms it cannot be classified — 14 where both reviewers agreed on "NA" and 8 still open — so the design counts are floors over the remaining 83. Of those 83, </w:t>
      </w:r>
      <w:r>
        <w:rPr>
          <w:b/>
        </w:rPr>
        <w:t>8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17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105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105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157 studies against the dozens handled by published reviews, and would have been 219 without the language restriction adopted at the end and without the 27 that reading the articles refuted.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157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73.2 %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97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105 arms).</w:t>
      </w:r>
    </w:p>
    <w:p>
      <w:r>
        <w:rPr>
          <w:b/>
        </w:rPr>
        <w:t>Table 6.</w:t>
      </w:r>
      <w:r>
        <w:t xml:space="preserve"> Arms surviving each requirement for a pooled proportion of clinical success (n = 105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97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97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