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246; main text 3 610.</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is not stated in 70.2 %. Full text was obtained for 67 studies (54.0 %); the remaining fraction concentrates 56.5 %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for a human to read.</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124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67 of the 124 retrievable studies (54.0 %)</w:t>
      </w:r>
      <w:r>
        <w:t xml:space="preserve"> through legitimate open-access routes. The remaining 57 require interlibrary loan, institutional access or a request to the authors.</w:t>
      </w:r>
    </w:p>
    <w:p>
      <w:r>
        <w:t xml:space="preserve">The unretrieved fraction </w:t>
      </w:r>
      <w:r>
        <w:rPr>
          <w:b/>
        </w:rPr>
        <w:t>is not a random sample of the whole</w:t>
      </w:r>
      <w:r>
        <w:t xml:space="preserve"> (Table 3). It contains 13 of the 23 comparative studies, </w:t>
      </w:r>
      <w:r>
        <w:rPr>
          <w:b/>
        </w:rPr>
        <w:t>56.5 %</w:t>
      </w:r>
      <w:r>
        <w:t>, and reports more patients than the retrieved fraction. Among those unread comparative studies are the field's four landmark randomised trials [@Jault2019_phagoburn; @Leitner2021_lancetid_pyophage; @NirPaz2025_med_tp102; @Chan2023_jcf_cyphy]; one of them, the Yale trial, has no full journal article, only a conference abstract and results deposited in the register.</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70.2 %</w:t>
      </w:r>
      <w:r>
        <w:t xml:space="preserve"> of studies.</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54.0 % of the retrievable studies, and the missing fraction is enriched in comparative designs, so what is described here under-represents the comparative part of the field. </w:t>
      </w:r>
      <w:r>
        <w:rPr>
          <w:b/>
        </w:rPr>
        <w:t>Fourth</w:t>
      </w:r>
      <w:r>
        <w:t xml:space="preserve">, screening was performed by a single reviewer supported by explicit rules, with a positive-control audit but without independent duplication. Duplication is planned for the extraction stage.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Generative artificial intelligence tools (Claude, Anthropic) were used in preparing this work to assist with programming the screening pipeline, with pre-extraction from abstracts, and with drafting. The authors reviewed and verified all content and take full responsibility for its accuracy and integrity. No AI tool is listed as an author, in line with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