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258; texto principal 3 898.</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la clase de resistencia en el 70,2 %. Se obtuvo el texto completo de 67 estudios (54,0 %); la fracción restante concentra el 56,5 %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para que lo lea una persona.</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124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(4 062), organismo distinto sin subgrupo separable (3 031), revisión o comentario sin datos primarios (2 807), no evalúa fagoterapia en pacientes (2 634), ámbito veterinario (838)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67 de los 124 estudios recuperables (54,0 %)</w:t>
      </w:r>
      <w:r>
        <w:t xml:space="preserve"> por vías de acceso abierto legítimas. Los 57 restantes requieren préstamo interbibliotecario, acceso institucional o solicitud a los autores.</w:t>
      </w:r>
    </w:p>
    <w:p>
      <w:r>
        <w:t xml:space="preserve">La fracción no obtenida </w:t>
      </w:r>
      <w:r>
        <w:rPr>
          <w:b/>
        </w:rPr>
        <w:t>no es una muestra aleatoria del conjunto</w:t>
      </w:r>
      <w:r>
        <w:t xml:space="preserve"> (Tabla 3). Contiene 13 de los 23 estudios comparativos, el </w:t>
      </w:r>
      <w:r>
        <w:rPr>
          <w:b/>
        </w:rPr>
        <w:t>56,5 %</w:t>
      </w:r>
      <w:r>
        <w:t>, y declara más pacientes que la fracción obtenida. Entre esos comparativos aún no leídos figuran los cuatro ensayos aleatorizados de referencia del campo [@Jault2019_phagoburn; @Leitner2021_lancetid_pyophage; @NirPaz2025_med_tp102; @Chan2023_jcf_cyphy]; de uno de ellos, el ensayo de Yale, no existe artículo completo publicado, sino un resumen de congreso y los resultados depositados en el registro.</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70,2 %</w:t>
      </w:r>
      <w:r>
        <w:t xml:space="preserve"> de los estudios.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54,0 % de los estudios recuperables, y la fracción faltante está enriquecida en diseños comparativos, de manera que lo descrito aquí subrepresenta la parte comparativa del campo. </w:t>
      </w:r>
      <w:r>
        <w:rPr>
          <w:b/>
        </w:rPr>
        <w:t>Cuarta:</w:t>
      </w:r>
      <w:r>
        <w:t xml:space="preserve"> el cribado lo realizó un solo revisor asistido por reglas explícitas, con auditoría de controles positivos pero sin duplicación independiente. La duplicación está prevista para la fase de extracción.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En la preparación de este trabajo se emplearon herramientas de inteligencia artificial generativa (Claude, Anthropic) para la asistencia en la programación del canal de cribado, la pre-extracción desde resúmenes y la redacción de borradores. Los autores revisaron y verificaron todo el contenido y asumen la responsabilidad íntegra por su exactitud e integridad.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