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C77" w:rsidRPr="00064DF1" w:rsidRDefault="00763C77" w:rsidP="00763C77">
      <w:pPr>
        <w:pStyle w:val="1"/>
        <w:spacing w:before="0" w:beforeAutospacing="0" w:after="450" w:afterAutospacing="0"/>
        <w:rPr>
          <w:rFonts w:ascii="Helvetica" w:hAnsi="Helvetica"/>
          <w:color w:val="444444"/>
          <w:spacing w:val="-9"/>
          <w:lang w:val="en-US"/>
        </w:rPr>
      </w:pPr>
      <w:bookmarkStart w:id="0" w:name="_GoBack"/>
      <w:r w:rsidRPr="00064DF1">
        <w:rPr>
          <w:rFonts w:ascii="Helvetica" w:hAnsi="Helvetica"/>
          <w:color w:val="444444"/>
          <w:spacing w:val="-9"/>
          <w:lang w:val="en-US"/>
        </w:rPr>
        <w:t>Anti-phage entibody response in phage therapy against healthcare-associated infections (hais)</w:t>
      </w:r>
    </w:p>
    <w:bookmarkEnd w:id="0"/>
    <w:p w:rsidR="00763C77" w:rsidRDefault="00763C77" w:rsidP="00763C77">
      <w:pPr>
        <w:shd w:val="clear" w:color="auto" w:fill="FFFFFF"/>
        <w:rPr>
          <w:rFonts w:ascii="Open Sans" w:hAnsi="Open Sans" w:cs="Open Sans"/>
          <w:color w:val="777777"/>
          <w:sz w:val="23"/>
          <w:szCs w:val="23"/>
        </w:rPr>
      </w:pPr>
      <w:r w:rsidRPr="00064DF1">
        <w:rPr>
          <w:rStyle w:val="a4"/>
          <w:rFonts w:ascii="Open Sans" w:hAnsi="Open Sans" w:cs="Open Sans"/>
          <w:color w:val="777777"/>
          <w:sz w:val="23"/>
          <w:szCs w:val="23"/>
          <w:lang w:val="en-US"/>
        </w:rPr>
        <w:t>BOCHKAREVA S.S.*1, NOVIKOVA L.I.1, ERSHOVA O.N.2, KARAULOV A.V.3, ZEIGARNIK M.V.4, ALESHKIN A.V.5, KISELEVA I.A.5, ZUL'KARNEEV E.R.5, RUBAL'SKIY E.O.6,7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1 Laboratory of Immunobiological Preparations, G.N. Gabrichevsky Moscow Research Institute for Epidemiology and Microbiology, 10 ul. Admirala Makarova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2 N.N. Burdenko Neurosurgery Research Institute, 16 ul. 4th Tverskaya Yamskaya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3 Department of Clinical Allergology and Immunology, I.M. Sechenov State Medical University, 2/6 ul. Bol'shaya Pirogovskaya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4 Department of Gastroenterology and Dietetics, N.I. Pirogov Russian National Research Medical University, 21 Kashirskoe shosse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5 Laboratory of Clinical Microbiology and Biotechnology of Bacteriophages, G.N. Gabrichevsky Moscow Research Institute for Epidemiology and Microbiology, 10 ul. Admirala Makarova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6 Innovations, Technology and Innovation Support Center, Astrakhan State Medical University, 10 ul. Admirala Makarova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7 Laboratory of Applied Immunochemistry, G.N. Gabrichevsky Moscow Research Institute for Epidemiology and Microbiology, 10 ul. Admirala Makarova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t>Тип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: </w:t>
      </w:r>
      <w:r>
        <w:rPr>
          <w:rFonts w:ascii="Open Sans" w:hAnsi="Open Sans" w:cs="Open Sans"/>
          <w:color w:val="777777"/>
          <w:sz w:val="23"/>
          <w:szCs w:val="23"/>
        </w:rPr>
        <w:t>статья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в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журнале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- </w:t>
      </w:r>
      <w:r>
        <w:rPr>
          <w:rFonts w:ascii="Open Sans" w:hAnsi="Open Sans" w:cs="Open Sans"/>
          <w:color w:val="777777"/>
          <w:sz w:val="23"/>
          <w:szCs w:val="23"/>
        </w:rPr>
        <w:t>научная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статья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Язык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: </w:t>
      </w:r>
      <w:r>
        <w:rPr>
          <w:rFonts w:ascii="Open Sans" w:hAnsi="Open Sans" w:cs="Open Sans"/>
          <w:color w:val="777777"/>
          <w:sz w:val="23"/>
          <w:szCs w:val="23"/>
        </w:rPr>
        <w:t>английский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t>Том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: 15</w:t>
      </w:r>
      <w:r>
        <w:rPr>
          <w:rFonts w:ascii="Open Sans" w:hAnsi="Open Sans" w:cs="Open Sans"/>
          <w:color w:val="777777"/>
          <w:sz w:val="23"/>
          <w:szCs w:val="23"/>
        </w:rPr>
        <w:t>Номер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: 1 </w:t>
      </w:r>
      <w:r>
        <w:rPr>
          <w:rFonts w:ascii="Open Sans" w:hAnsi="Open Sans" w:cs="Open Sans"/>
          <w:color w:val="777777"/>
          <w:sz w:val="23"/>
          <w:szCs w:val="23"/>
        </w:rPr>
        <w:t>Год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: 2017 </w:t>
      </w:r>
      <w:r>
        <w:rPr>
          <w:rFonts w:ascii="Open Sans" w:hAnsi="Open Sans" w:cs="Open Sans"/>
          <w:color w:val="777777"/>
          <w:sz w:val="23"/>
          <w:szCs w:val="23"/>
        </w:rPr>
        <w:t>Страницы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: 35-40</w:t>
      </w:r>
      <w:r>
        <w:rPr>
          <w:rFonts w:ascii="Open Sans" w:hAnsi="Open Sans" w:cs="Open Sans"/>
          <w:color w:val="777777"/>
          <w:sz w:val="23"/>
          <w:szCs w:val="23"/>
        </w:rPr>
        <w:t>Поступила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в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редакцию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: 05.02.2016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DOI: 10.20953/1729-9225-2017-1-35-40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Style w:val="a4"/>
          <w:rFonts w:ascii="Open Sans" w:hAnsi="Open Sans" w:cs="Open Sans"/>
          <w:color w:val="777777"/>
          <w:sz w:val="23"/>
          <w:szCs w:val="23"/>
        </w:rPr>
        <w:t>ЖУРНАЛ</w:t>
      </w:r>
      <w:r w:rsidRPr="00064DF1">
        <w:rPr>
          <w:rStyle w:val="a4"/>
          <w:rFonts w:ascii="Open Sans" w:hAnsi="Open Sans" w:cs="Open Sans"/>
          <w:color w:val="777777"/>
          <w:sz w:val="23"/>
          <w:szCs w:val="23"/>
          <w:lang w:val="en-US"/>
        </w:rPr>
        <w:t>: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t>ИНФЕКЦИОННЫЕ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БОЛЕЗНИ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t>Издательство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: </w:t>
      </w:r>
      <w:r>
        <w:rPr>
          <w:rFonts w:ascii="Open Sans" w:hAnsi="Open Sans" w:cs="Open Sans"/>
          <w:color w:val="777777"/>
          <w:sz w:val="23"/>
          <w:szCs w:val="23"/>
        </w:rPr>
        <w:t>ООО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"</w:t>
      </w:r>
      <w:r>
        <w:rPr>
          <w:rFonts w:ascii="Open Sans" w:hAnsi="Open Sans" w:cs="Open Sans"/>
          <w:color w:val="777777"/>
          <w:sz w:val="23"/>
          <w:szCs w:val="23"/>
        </w:rPr>
        <w:t>Издательство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"</w:t>
      </w:r>
      <w:r>
        <w:rPr>
          <w:rFonts w:ascii="Open Sans" w:hAnsi="Open Sans" w:cs="Open Sans"/>
          <w:color w:val="777777"/>
          <w:sz w:val="23"/>
          <w:szCs w:val="23"/>
        </w:rPr>
        <w:t>Династия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" (</w:t>
      </w:r>
      <w:r>
        <w:rPr>
          <w:rFonts w:ascii="Open Sans" w:hAnsi="Open Sans" w:cs="Open Sans"/>
          <w:color w:val="777777"/>
          <w:sz w:val="23"/>
          <w:szCs w:val="23"/>
        </w:rPr>
        <w:t>Москва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)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  <w:t>ISSN: 1729-9225eISSN: 2414-9691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Style w:val="a4"/>
          <w:rFonts w:ascii="Open Sans" w:hAnsi="Open Sans" w:cs="Open Sans"/>
          <w:color w:val="777777"/>
          <w:sz w:val="23"/>
          <w:szCs w:val="23"/>
        </w:rPr>
        <w:t>КЛЮЧЕВЫЕ</w:t>
      </w:r>
      <w:r w:rsidRPr="00064DF1">
        <w:rPr>
          <w:rStyle w:val="a4"/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Style w:val="a4"/>
          <w:rFonts w:ascii="Open Sans" w:hAnsi="Open Sans" w:cs="Open Sans"/>
          <w:color w:val="777777"/>
          <w:sz w:val="23"/>
          <w:szCs w:val="23"/>
        </w:rPr>
        <w:t>СЛОВА</w:t>
      </w:r>
      <w:r w:rsidRPr="00064DF1">
        <w:rPr>
          <w:rStyle w:val="a4"/>
          <w:rFonts w:ascii="Open Sans" w:hAnsi="Open Sans" w:cs="Open Sans"/>
          <w:color w:val="777777"/>
          <w:sz w:val="23"/>
          <w:szCs w:val="23"/>
          <w:lang w:val="en-US"/>
        </w:rPr>
        <w:t>: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t>БАКТЕРИОФАГИ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, BACTERIOPHAGES, </w:t>
      </w:r>
      <w:r>
        <w:rPr>
          <w:rFonts w:ascii="Open Sans" w:hAnsi="Open Sans" w:cs="Open Sans"/>
          <w:color w:val="777777"/>
          <w:sz w:val="23"/>
          <w:szCs w:val="23"/>
        </w:rPr>
        <w:t>ИСМП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, </w:t>
      </w:r>
      <w:r>
        <w:rPr>
          <w:rFonts w:ascii="Open Sans" w:hAnsi="Open Sans" w:cs="Open Sans"/>
          <w:color w:val="777777"/>
          <w:sz w:val="23"/>
          <w:szCs w:val="23"/>
        </w:rPr>
        <w:t>АНТИБИОТИКОРЕЗИСТЕНТНОСТЬ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, ANTIBIOTIC RESISTANCE, </w:t>
      </w:r>
      <w:r>
        <w:rPr>
          <w:rFonts w:ascii="Open Sans" w:hAnsi="Open Sans" w:cs="Open Sans"/>
          <w:color w:val="777777"/>
          <w:sz w:val="23"/>
          <w:szCs w:val="23"/>
        </w:rPr>
        <w:t>ГУМОРАЛЬНЫЙ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ИММУННЫЙ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ОТВЕТ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, HUMORAL IMMUNE RESPONSE, </w:t>
      </w:r>
      <w:r>
        <w:rPr>
          <w:rFonts w:ascii="Open Sans" w:hAnsi="Open Sans" w:cs="Open Sans"/>
          <w:color w:val="777777"/>
          <w:sz w:val="23"/>
          <w:szCs w:val="23"/>
        </w:rPr>
        <w:t>АНТИФАГОВЫЕ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 </w:t>
      </w:r>
      <w:r>
        <w:rPr>
          <w:rFonts w:ascii="Open Sans" w:hAnsi="Open Sans" w:cs="Open Sans"/>
          <w:color w:val="777777"/>
          <w:sz w:val="23"/>
          <w:szCs w:val="23"/>
        </w:rPr>
        <w:t>АНТИТЕЛА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, HAIS, ANTI-PHAGE ANTIBODIES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Style w:val="a4"/>
          <w:rFonts w:ascii="Open Sans" w:hAnsi="Open Sans" w:cs="Open Sans"/>
          <w:color w:val="777777"/>
          <w:sz w:val="23"/>
          <w:szCs w:val="23"/>
        </w:rPr>
        <w:t>АННОТАЦИЯ</w:t>
      </w:r>
      <w:r w:rsidRPr="00064DF1">
        <w:rPr>
          <w:rStyle w:val="a4"/>
          <w:rFonts w:ascii="Open Sans" w:hAnsi="Open Sans" w:cs="Open Sans"/>
          <w:color w:val="777777"/>
          <w:sz w:val="23"/>
          <w:szCs w:val="23"/>
          <w:lang w:val="en-US"/>
        </w:rPr>
        <w:t>: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t>Цель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. </w:t>
      </w:r>
      <w:r>
        <w:rPr>
          <w:rFonts w:ascii="Open Sans" w:hAnsi="Open Sans" w:cs="Open Sans"/>
          <w:color w:val="777777"/>
          <w:sz w:val="23"/>
          <w:szCs w:val="23"/>
        </w:rPr>
        <w:t xml:space="preserve">Оценить антифаговый гуморальный иммунный ответ на фаготерапию ИСМП. Пациенты и методы. 42 пациента, находящиеся на продленной ИВЛ в </w:t>
      </w:r>
      <w:r>
        <w:rPr>
          <w:rFonts w:ascii="Open Sans" w:hAnsi="Open Sans" w:cs="Open Sans"/>
          <w:color w:val="777777"/>
          <w:sz w:val="23"/>
          <w:szCs w:val="23"/>
        </w:rPr>
        <w:lastRenderedPageBreak/>
        <w:t>отделении нейрореанимации, получали коктейль бактериофагов per os, в том числе 6 пациентов - повторно от 3 до 5 раз. Антифаговый иммунитет оценивали с помощью ИФА до и после окончания курса. Результаты. Исходно из 87,5% проб пациентов были выделены A. baumannii, K. pneumoniae, P. aeruginosa. После первых курсов фаготерапии эффективная санация была подтверждена в 54-62,5% случаях. Фармакокинетические исследования указывали на системный механизм действия энтеральных форм бактериофагов. Повторные курсы фаготерапии теми же штаммами фагов не привели к существенной эрадикации патогенов. Антифаговый иммунитет после однократного применения коктейля бактериофагов конкретного штаммового состава детектировали с помощью ИФА по наличию титра специфических IgG-антител в диапазоне от 1/16 до 1/4096 (у пациентов, не принимавших коктейль бактериофагов, антитела отсутствовали). Заключение. Снижение санирующего эффекта бактериофага может возникать при проведении повторного курса у одного и того же пациента из-за образования антифаговых антител. Для сохранения результативности фаготерапии необходимо изменение штаммового состава коктейля бактериофагов.</w:t>
      </w:r>
      <w:r>
        <w:rPr>
          <w:rFonts w:ascii="Open Sans" w:hAnsi="Open Sans" w:cs="Open Sans"/>
          <w:color w:val="777777"/>
          <w:sz w:val="23"/>
          <w:szCs w:val="23"/>
        </w:rPr>
        <w:br/>
      </w:r>
      <w:r>
        <w:rPr>
          <w:rFonts w:ascii="Open Sans" w:hAnsi="Open Sans" w:cs="Open Sans"/>
          <w:color w:val="777777"/>
          <w:sz w:val="23"/>
          <w:szCs w:val="23"/>
        </w:rPr>
        <w:br/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 xml:space="preserve">The objective. To evaluate anti-phage </w:t>
      </w:r>
      <w:r>
        <w:rPr>
          <w:rFonts w:ascii="Open Sans" w:hAnsi="Open Sans" w:cs="Open Sans"/>
          <w:color w:val="777777"/>
          <w:sz w:val="23"/>
          <w:szCs w:val="23"/>
        </w:rPr>
        <w:t>а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t>ntibody response in phage therapy against HAIs. Patients and methods. Forty-two patients on prolonged mechanical ventilation in a neurological ICU were administered bacteriophage cocktail per os, including six patients repeatedly - from 3 to 5 courses. Anti-phage immunity was evaluated by ELISA before and after the treatment. Results. Initially, from 87.5% of the patients' samples A. baumannii, K. pneumoniae, P. aeruginosa were isolated. In the first courses of phage therapy, effective sanitation was proved in 54-62.5% of cases. Pharmacokinetic research assumed a systemic action of enteral forms of bacteriophages. Repeated courses of phage therapy with the same strains did not lead to a substantial eradication of pathogens. Anti-phage immunity after a single application of bacteriophage cocktail with a certain composition of strains was detected with ELISA by the presence of titer of specific IgG antibodies in the range of 1/16-1/4096 (no antibodies were present in patients who did not take the cocktail). Conclusion. The effectiveness of a bacteriophage may be reduced if a patient is given a repeated treatment due to the formation of anti-phage antibodies. In order to retain performance of phage therapy, a change in the composition of strains in the phage cocktail is necessary.</w:t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r w:rsidRPr="00064DF1">
        <w:rPr>
          <w:rFonts w:ascii="Open Sans" w:hAnsi="Open Sans" w:cs="Open Sans"/>
          <w:color w:val="777777"/>
          <w:sz w:val="23"/>
          <w:szCs w:val="23"/>
          <w:lang w:val="en-US"/>
        </w:rPr>
        <w:br/>
      </w:r>
      <w:hyperlink r:id="rId5" w:anchor="135141" w:history="1">
        <w:r>
          <w:rPr>
            <w:rStyle w:val="a3"/>
            <w:rFonts w:ascii="Open Sans" w:hAnsi="Open Sans" w:cs="Open Sans"/>
            <w:color w:val="E86240"/>
            <w:sz w:val="23"/>
            <w:szCs w:val="23"/>
          </w:rPr>
          <w:t>https://www.sechenov.ru/science_and_innovation/repo/?PAGEN_1=1#135141</w:t>
        </w:r>
      </w:hyperlink>
    </w:p>
    <w:p w:rsidR="00CA4CA6" w:rsidRPr="00763C77" w:rsidRDefault="00763C77" w:rsidP="00763C77"/>
    <w:sectPr w:rsidR="00CA4CA6" w:rsidRPr="00763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C68"/>
    <w:rsid w:val="00063D64"/>
    <w:rsid w:val="000657F1"/>
    <w:rsid w:val="00090ECE"/>
    <w:rsid w:val="000A2C68"/>
    <w:rsid w:val="000D6EFA"/>
    <w:rsid w:val="00121C12"/>
    <w:rsid w:val="001772FC"/>
    <w:rsid w:val="001B09F9"/>
    <w:rsid w:val="001E566C"/>
    <w:rsid w:val="00346B9F"/>
    <w:rsid w:val="0039271E"/>
    <w:rsid w:val="0041239D"/>
    <w:rsid w:val="00482A79"/>
    <w:rsid w:val="0049539E"/>
    <w:rsid w:val="0050484D"/>
    <w:rsid w:val="005D5605"/>
    <w:rsid w:val="00620449"/>
    <w:rsid w:val="00651DF7"/>
    <w:rsid w:val="00682045"/>
    <w:rsid w:val="006B680E"/>
    <w:rsid w:val="00722AA8"/>
    <w:rsid w:val="00763C77"/>
    <w:rsid w:val="0081659D"/>
    <w:rsid w:val="00884866"/>
    <w:rsid w:val="008B5DC9"/>
    <w:rsid w:val="00912EE8"/>
    <w:rsid w:val="009C30B6"/>
    <w:rsid w:val="00AA47A7"/>
    <w:rsid w:val="00AE7D70"/>
    <w:rsid w:val="00BB73DA"/>
    <w:rsid w:val="00C26054"/>
    <w:rsid w:val="00C719A2"/>
    <w:rsid w:val="00C9247B"/>
    <w:rsid w:val="00CE28D7"/>
    <w:rsid w:val="00CF5EF5"/>
    <w:rsid w:val="00D03F95"/>
    <w:rsid w:val="00D77651"/>
    <w:rsid w:val="00E40E11"/>
    <w:rsid w:val="00E83DC1"/>
    <w:rsid w:val="00EE0B36"/>
    <w:rsid w:val="00EE0C20"/>
    <w:rsid w:val="00F4751B"/>
    <w:rsid w:val="00F83355"/>
    <w:rsid w:val="00FF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C77"/>
  </w:style>
  <w:style w:type="paragraph" w:styleId="1">
    <w:name w:val="heading 1"/>
    <w:basedOn w:val="a"/>
    <w:link w:val="10"/>
    <w:uiPriority w:val="9"/>
    <w:qFormat/>
    <w:rsid w:val="000A2C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C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ed-on">
    <w:name w:val="posted-on"/>
    <w:basedOn w:val="a0"/>
    <w:rsid w:val="000A2C68"/>
  </w:style>
  <w:style w:type="character" w:styleId="a3">
    <w:name w:val="Hyperlink"/>
    <w:basedOn w:val="a0"/>
    <w:uiPriority w:val="99"/>
    <w:semiHidden/>
    <w:unhideWhenUsed/>
    <w:rsid w:val="000A2C68"/>
    <w:rPr>
      <w:color w:val="0000FF"/>
      <w:u w:val="single"/>
    </w:rPr>
  </w:style>
  <w:style w:type="character" w:styleId="a4">
    <w:name w:val="Strong"/>
    <w:basedOn w:val="a0"/>
    <w:uiPriority w:val="22"/>
    <w:qFormat/>
    <w:rsid w:val="000A2C68"/>
    <w:rPr>
      <w:b/>
      <w:bCs/>
    </w:rPr>
  </w:style>
  <w:style w:type="character" w:customStyle="1" w:styleId="meta-cate">
    <w:name w:val="meta-cate"/>
    <w:basedOn w:val="a0"/>
    <w:rsid w:val="000A2C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C77"/>
  </w:style>
  <w:style w:type="paragraph" w:styleId="1">
    <w:name w:val="heading 1"/>
    <w:basedOn w:val="a"/>
    <w:link w:val="10"/>
    <w:uiPriority w:val="9"/>
    <w:qFormat/>
    <w:rsid w:val="000A2C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C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ed-on">
    <w:name w:val="posted-on"/>
    <w:basedOn w:val="a0"/>
    <w:rsid w:val="000A2C68"/>
  </w:style>
  <w:style w:type="character" w:styleId="a3">
    <w:name w:val="Hyperlink"/>
    <w:basedOn w:val="a0"/>
    <w:uiPriority w:val="99"/>
    <w:semiHidden/>
    <w:unhideWhenUsed/>
    <w:rsid w:val="000A2C68"/>
    <w:rPr>
      <w:color w:val="0000FF"/>
      <w:u w:val="single"/>
    </w:rPr>
  </w:style>
  <w:style w:type="character" w:styleId="a4">
    <w:name w:val="Strong"/>
    <w:basedOn w:val="a0"/>
    <w:uiPriority w:val="22"/>
    <w:qFormat/>
    <w:rsid w:val="000A2C68"/>
    <w:rPr>
      <w:b/>
      <w:bCs/>
    </w:rPr>
  </w:style>
  <w:style w:type="character" w:customStyle="1" w:styleId="meta-cate">
    <w:name w:val="meta-cate"/>
    <w:basedOn w:val="a0"/>
    <w:rsid w:val="000A2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echenov.ru/science_and_innovation/repo/?PAGEN_1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Головлева Анна</dc:creator>
  <cp:lastModifiedBy>Головлева Анна</cp:lastModifiedBy>
  <cp:revision>2</cp:revision>
  <dcterms:created xsi:type="dcterms:W3CDTF">2018-12-06T11:44:00Z</dcterms:created>
  <dcterms:modified xsi:type="dcterms:W3CDTF">2018-12-06T11:44:00Z</dcterms:modified>
</cp:coreProperties>
</file>