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 xml:space="preserve">Fagoterapia en infecciones por </w:t>
      </w:r>
      <w:r>
        <w:rPr>
          <w:rFonts w:ascii="Times New Roman" w:hAnsi="Times New Roman"/>
          <w:b/>
          <w:i/>
          <w:sz w:val="28"/>
        </w:rPr>
        <w:t>Pseudomonas aeruginosa</w:t>
      </w:r>
      <w:r>
        <w:rPr>
          <w:rFonts w:ascii="Times New Roman" w:hAnsi="Times New Roman"/>
          <w:b/>
          <w:i w:val="0"/>
          <w:sz w:val="28"/>
        </w:rPr>
        <w:t xml:space="preserve"> multirresistente: revisión sistemática de la literatura clínica y la completitud de su reporte</w:t>
      </w:r>
    </w:p>
    <w:p>
      <w:pPr>
        <w:jc w:val="both"/>
      </w:pPr>
      <w:r>
        <w:rPr>
          <w:rFonts w:ascii="Times New Roman" w:hAnsi="Times New Roman"/>
          <w:b/>
          <w:i w:val="0"/>
          <w:sz w:val="22"/>
        </w:rPr>
        <w:t>Danny Valdiviezo</w:t>
      </w:r>
      <w:r>
        <w:rPr>
          <w:rFonts w:ascii="Times New Roman" w:hAnsi="Times New Roman"/>
          <w:b w:val="0"/>
          <w:i w:val="0"/>
          <w:sz w:val="22"/>
        </w:rPr>
        <w:t xml:space="preserve">^1^, </w:t>
      </w:r>
      <w:r>
        <w:rPr>
          <w:rFonts w:ascii="Times New Roman" w:hAnsi="Times New Roman"/>
          <w:b/>
          <w:i w:val="0"/>
          <w:sz w:val="22"/>
        </w:rPr>
        <w:t>Nataly Trelles</w:t>
      </w:r>
      <w:r>
        <w:rPr>
          <w:rFonts w:ascii="Times New Roman" w:hAnsi="Times New Roman"/>
          <w:b w:val="0"/>
          <w:i w:val="0"/>
          <w:sz w:val="22"/>
        </w:rPr>
        <w:t>^1^</w:t>
      </w:r>
    </w:p>
    <w:p>
      <w:pPr>
        <w:jc w:val="both"/>
      </w:pPr>
      <w:r>
        <w:rPr>
          <w:rFonts w:ascii="Times New Roman" w:hAnsi="Times New Roman"/>
          <w:b w:val="0"/>
          <w:i w:val="0"/>
          <w:sz w:val="22"/>
        </w:rPr>
        <w:t>^1^ Facultad de Medicina, Universidad Católica de Cuenca, Cuenca, Ecuador.</w:t>
      </w:r>
    </w:p>
    <w:p>
      <w:pPr>
        <w:jc w:val="both"/>
      </w:pPr>
      <w:r>
        <w:rPr>
          <w:rFonts w:ascii="Times New Roman" w:hAnsi="Times New Roman"/>
          <w:b/>
          <w:i w:val="0"/>
          <w:sz w:val="22"/>
        </w:rPr>
        <w:t>Autor de correspondencia:</w:t>
      </w:r>
      <w:r>
        <w:rPr>
          <w:rFonts w:ascii="Times New Roman" w:hAnsi="Times New Roman"/>
          <w:b w:val="0"/>
          <w:i w:val="0"/>
          <w:sz w:val="22"/>
        </w:rPr>
        <w:t xml:space="preserve"> Danny Valdiviezo. Universidad Católica de Cuenca, Av. de las Américas y Humboldt, Cuenca, Ecuador. Correo: dvchiqui@gmail.com</w:t>
      </w:r>
    </w:p>
    <w:p>
      <w:pPr>
        <w:jc w:val="both"/>
      </w:pPr>
      <w:r>
        <w:rPr>
          <w:rFonts w:ascii="Times New Roman" w:hAnsi="Times New Roman"/>
          <w:b/>
          <w:i w:val="0"/>
          <w:sz w:val="22"/>
        </w:rPr>
        <w:t>Recuento de palabras:</w:t>
      </w:r>
      <w:r>
        <w:rPr>
          <w:rFonts w:ascii="Times New Roman" w:hAnsi="Times New Roman"/>
          <w:b w:val="0"/>
          <w:i w:val="0"/>
          <w:sz w:val="22"/>
        </w:rPr>
        <w:t xml:space="preserve"> resumen 262; texto principal 7 105.</w:t>
      </w:r>
    </w:p>
    <w:p>
      <w:pPr>
        <w:jc w:val="both"/>
      </w:pPr>
      <w:r>
        <w:rPr>
          <w:rFonts w:ascii="Times New Roman" w:hAnsi="Times New Roman"/>
          <w:b/>
          <w:i w:val="0"/>
          <w:sz w:val="22"/>
        </w:rPr>
        <w:t>Tablas:</w:t>
      </w:r>
      <w:r>
        <w:rPr>
          <w:rFonts w:ascii="Times New Roman" w:hAnsi="Times New Roman"/>
          <w:b w:val="0"/>
          <w:i w:val="0"/>
          <w:sz w:val="22"/>
        </w:rPr>
        <w:t xml:space="preserve"> 6. </w:t>
      </w:r>
      <w:r>
        <w:rPr>
          <w:rFonts w:ascii="Times New Roman" w:hAnsi="Times New Roman"/>
          <w:b/>
          <w:i w:val="0"/>
          <w:sz w:val="22"/>
        </w:rPr>
        <w:t>Figuras:</w:t>
      </w:r>
      <w:r>
        <w:rPr>
          <w:rFonts w:ascii="Times New Roman" w:hAnsi="Times New Roman"/>
          <w:b w:val="0"/>
          <w:i w:val="0"/>
          <w:sz w:val="22"/>
        </w:rPr>
        <w:t xml:space="preserve"> 2. </w:t>
      </w:r>
      <w:r>
        <w:rPr>
          <w:rFonts w:ascii="Times New Roman" w:hAnsi="Times New Roman"/>
          <w:b/>
          <w:i w:val="0"/>
          <w:sz w:val="22"/>
        </w:rPr>
        <w:t>Material suplementario:</w:t>
      </w:r>
      <w:r>
        <w:rPr>
          <w:rFonts w:ascii="Times New Roman" w:hAnsi="Times New Roman"/>
          <w:b w:val="0"/>
          <w:i w:val="0"/>
          <w:sz w:val="22"/>
        </w:rPr>
        <w:t xml:space="preserve"> 16 anexos (S0–S15) y su guía.</w:t>
      </w:r>
    </w:p>
    <w:p>
      <w:pPr>
        <w:spacing w:before="280" w:after="140"/>
      </w:pPr>
      <w:r>
        <w:rPr>
          <w:rFonts w:ascii="Times New Roman" w:hAnsi="Times New Roman"/>
          <w:b/>
          <w:i w:val="0"/>
          <w:sz w:val="24"/>
        </w:rPr>
        <w:t>Resumen</w:t>
      </w:r>
    </w:p>
    <w:p>
      <w:pPr>
        <w:jc w:val="both"/>
      </w:pPr>
      <w:r>
        <w:rPr>
          <w:rFonts w:ascii="Times New Roman" w:hAnsi="Times New Roman"/>
          <w:b/>
          <w:i w:val="0"/>
          <w:sz w:val="22"/>
        </w:rPr>
        <w:t>Antecedentes.</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Eso presupone que admite agregación, y nadie lo ha examinado.</w:t>
      </w:r>
    </w:p>
    <w:p>
      <w:pPr>
        <w:jc w:val="both"/>
      </w:pPr>
      <w:r>
        <w:rPr>
          <w:rFonts w:ascii="Times New Roman" w:hAnsi="Times New Roman"/>
          <w:b/>
          <w:i w:val="0"/>
          <w:sz w:val="22"/>
        </w:rPr>
        <w:t>Objetivos.</w:t>
      </w:r>
      <w:r>
        <w:rPr>
          <w:rFonts w:ascii="Times New Roman" w:hAnsi="Times New Roman"/>
          <w:b w:val="0"/>
          <w:i w:val="0"/>
          <w:sz w:val="22"/>
        </w:rPr>
        <w:t xml:space="preserve"> Delimitarla de forma reproducible y determinar si admite una síntesis cuantitativa de eficacia.</w:t>
      </w:r>
    </w:p>
    <w:p>
      <w:pPr>
        <w:jc w:val="both"/>
      </w:pPr>
      <w:r>
        <w:rPr>
          <w:rFonts w:ascii="Times New Roman" w:hAnsi="Times New Roman"/>
          <w:b/>
          <w:i w:val="0"/>
          <w:sz w:val="22"/>
        </w:rPr>
        <w:t>Métodos.</w:t>
      </w:r>
      <w:r>
        <w:rPr>
          <w:rFonts w:ascii="Times New Roman" w:hAnsi="Times New Roman"/>
          <w:b w:val="0"/>
          <w:i w:val="0"/>
          <w:sz w:val="22"/>
        </w:rPr>
        <w:t xml:space="preserve"> PRISMA 2020, corrientes separadas para bases y registros. Ocho fuentes —BVS y SciELO incluidas—, ventana 2016–2026 donde la admiten. Solo inglés o español, criterio incorporado como </w:t>
      </w:r>
      <w:r>
        <w:rPr>
          <w:rFonts w:ascii="Times New Roman" w:hAnsi="Times New Roman"/>
          <w:b/>
          <w:i w:val="0"/>
          <w:sz w:val="22"/>
        </w:rPr>
        <w:t>enmienda posterior al cribado</w:t>
      </w:r>
      <w:r>
        <w:rPr>
          <w:rFonts w:ascii="Times New Roman" w:hAnsi="Times New Roman"/>
          <w:b w:val="0"/>
          <w:i w:val="0"/>
          <w:sz w:val="22"/>
        </w:rPr>
        <w:t xml:space="preserve"> y verificado sobre el texto completo. La unidad fue el estudio. Extracción manual por duplicado, con consenso: la estructura sale de una pre-extracción desde el resumen; los desenlaces, de la adjudicada.</w:t>
      </w:r>
    </w:p>
    <w:p>
      <w:pPr>
        <w:jc w:val="both"/>
      </w:pPr>
      <w:r>
        <w:rPr>
          <w:rFonts w:ascii="Times New Roman" w:hAnsi="Times New Roman"/>
          <w:b/>
          <w:i w:val="0"/>
          <w:sz w:val="22"/>
        </w:rPr>
        <w:t>Resultados.</w:t>
      </w:r>
      <w:r>
        <w:rPr>
          <w:rFonts w:ascii="Times New Roman" w:hAnsi="Times New Roman"/>
          <w:b w:val="0"/>
          <w:i w:val="0"/>
          <w:sz w:val="22"/>
        </w:rPr>
        <w:t xml:space="preserve"> De 23 057 registros quedaron 17 129 informes únicos;233 informes formaron 184 estudios y, al leer los textos completos, </w:t>
      </w:r>
      <w:r>
        <w:rPr>
          <w:rFonts w:ascii="Times New Roman" w:hAnsi="Times New Roman"/>
          <w:b/>
          <w:i w:val="0"/>
          <w:sz w:val="22"/>
        </w:rPr>
        <w:t>29 salieron del corpus</w:t>
      </w:r>
      <w:r>
        <w:rPr>
          <w:rFonts w:ascii="Times New Roman" w:hAnsi="Times New Roman"/>
          <w:b w:val="0"/>
          <w:i w:val="0"/>
          <w:sz w:val="22"/>
        </w:rPr>
        <w:t xml:space="preserve"> —protocolos, modelos preclínicos, y artículos donde </w:t>
      </w:r>
      <w:r>
        <w:rPr>
          <w:rFonts w:ascii="Times New Roman" w:hAnsi="Times New Roman"/>
          <w:b w:val="0"/>
          <w:i/>
          <w:sz w:val="22"/>
        </w:rPr>
        <w:t>P. aeruginosa</w:t>
      </w:r>
      <w:r>
        <w:rPr>
          <w:rFonts w:ascii="Times New Roman" w:hAnsi="Times New Roman"/>
          <w:b w:val="0"/>
          <w:i w:val="0"/>
          <w:sz w:val="22"/>
        </w:rPr>
        <w:t xml:space="preserve"> solo figura en el espectro del producto—: quedan </w:t>
      </w:r>
      <w:r>
        <w:rPr>
          <w:rFonts w:ascii="Times New Roman" w:hAnsi="Times New Roman"/>
          <w:b/>
          <w:i w:val="0"/>
          <w:sz w:val="22"/>
        </w:rPr>
        <w:t>155</w:t>
      </w:r>
      <w:r>
        <w:rPr>
          <w:rFonts w:ascii="Times New Roman" w:hAnsi="Times New Roman"/>
          <w:b w:val="0"/>
          <w:i w:val="0"/>
          <w:sz w:val="22"/>
        </w:rPr>
        <w:t xml:space="preserve">, 95 con publicación recuperable. Casos únicos, 44,2 %; comparativos, 11,6 %; sin clase de resistencia asignable, 75,8 %. Se obtuvo el texto completo de 71 (74,7 %), y lo que falta concentra el 54,5 % de los comparativos; el criterio de idioma eliminó 35 estudios más. En 69 de los 103 brazos (67,0 %) no consta definición operativa del éxito clínico, y solo 2 reúnen diseño comparativo, numerador, denominador y definición. Descontado el que mide tiempo, </w:t>
      </w:r>
      <w:r>
        <w:rPr>
          <w:rFonts w:ascii="Times New Roman" w:hAnsi="Times New Roman"/>
          <w:b/>
          <w:i w:val="0"/>
          <w:sz w:val="22"/>
        </w:rPr>
        <w:t>no queda ninguno</w:t>
      </w:r>
      <w:r>
        <w:rPr>
          <w:rFonts w:ascii="Times New Roman" w:hAnsi="Times New Roman"/>
          <w:b w:val="0"/>
          <w:i w:val="0"/>
          <w:sz w:val="22"/>
        </w:rPr>
        <w:t>.</w:t>
      </w:r>
    </w:p>
    <w:p>
      <w:pPr>
        <w:jc w:val="both"/>
      </w:pPr>
      <w:r>
        <w:rPr>
          <w:rFonts w:ascii="Times New Roman" w:hAnsi="Times New Roman"/>
          <w:b/>
          <w:i w:val="0"/>
          <w:sz w:val="22"/>
        </w:rPr>
        <w:t>Conclusiones.</w:t>
      </w:r>
      <w:r>
        <w:rPr>
          <w:rFonts w:ascii="Times New Roman" w:hAnsi="Times New Roman"/>
          <w:b w:val="0"/>
          <w:i w:val="0"/>
          <w:sz w:val="22"/>
        </w:rPr>
        <w:t xml:space="preserve"> Este cuerpo de evidencia es amplio y estructuralmente inadecuado para una síntesis cuantitativa de eficacia: las proporciones publicadas descansan sobre supuestos que estos datos no sostienen.</w:t>
      </w:r>
    </w:p>
    <w:p>
      <w:pPr>
        <w:jc w:val="both"/>
      </w:pPr>
      <w:r>
        <w:rPr>
          <w:rFonts w:ascii="Times New Roman" w:hAnsi="Times New Roman"/>
          <w:b/>
          <w:i w:val="0"/>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spacing w:before="280" w:after="140"/>
      </w:pPr>
      <w:r>
        <w:rPr>
          <w:rFonts w:ascii="Times New Roman" w:hAnsi="Times New Roman"/>
          <w:b/>
          <w:i w:val="0"/>
          <w:sz w:val="24"/>
        </w:rPr>
        <w:t>1. Introducción</w:t>
      </w:r>
    </w:p>
    <w:p>
      <w:pPr>
        <w:jc w:val="both"/>
      </w:pPr>
      <w:r>
        <w:rPr>
          <w:rFonts w:ascii="Times New Roman" w:hAnsi="Times New Roman"/>
          <w:b w:val="0"/>
          <w:i/>
          <w:sz w:val="22"/>
        </w:rPr>
        <w:t>Pseudomonas aeruginosa</w:t>
      </w:r>
      <w:r>
        <w:rPr>
          <w:rFonts w:ascii="Times New Roman" w:hAnsi="Times New Roman"/>
          <w:b w:val="0"/>
          <w:i w:val="0"/>
          <w:sz w:val="22"/>
        </w:rP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(1) y la actualización de 2024 rebajó la forma resistente a carbapenémicos a prioridad alta (2).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pPr>
        <w:jc w:val="both"/>
      </w:pPr>
      <w:r>
        <w:rPr>
          <w:rFonts w:ascii="Times New Roman" w:hAnsi="Times New Roman"/>
          <w:b w:val="0"/>
          <w:i w:val="0"/>
          <w:sz w:val="22"/>
        </w:rPr>
        <w:t>En ese estrechamiento ha reaparecido la fagoterapia. Los bacteriófagos líticos actúan por un mecanismo ajeno a las dianas antibióticas, respetan la microbiota acompañante y admiten adaptarse al aislado del propio paciente (3). Pero la literatura clínica que los respalda no creció como crece la evidencia de un fármaco en desarrollo. Creció como una acumulación de casos de rescate publicados de uno en uno, casi siempre después de que el paciente mejorara.</w:t>
      </w:r>
    </w:p>
    <w:p>
      <w:pPr>
        <w:jc w:val="both"/>
      </w:pPr>
      <w:r>
        <w:rPr>
          <w:rFonts w:ascii="Times New Roman" w:hAnsi="Times New Roman"/>
          <w:b w:val="0"/>
          <w:i w:val="0"/>
          <w:sz w:val="22"/>
        </w:rP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(4). Y cuando el fago se administra junto con antimicrobianos activos, ningún resultado favorable permite atribuir el mérito a uno u otro (5).</w:t>
      </w:r>
    </w:p>
    <w:p>
      <w:pPr>
        <w:jc w:val="both"/>
      </w:pPr>
      <w:r>
        <w:rPr>
          <w:rFonts w:ascii="Times New Roman" w:hAnsi="Times New Roman"/>
          <w:b w:val="0"/>
          <w:i w:val="0"/>
          <w:sz w:val="22"/>
        </w:rPr>
        <w:t>Pese a ello, las síntesis publicadas han tendido a agregar esta literatura en proporciones globales de éxito clínico (6,7).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pPr>
        <w:jc w:val="both"/>
      </w:pPr>
      <w:r>
        <w:rPr>
          <w:rFonts w:ascii="Times New Roman" w:hAnsi="Times New Roman"/>
          <w:b w:val="0"/>
          <w:i w:val="0"/>
          <w:sz w:val="22"/>
        </w:rP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spacing w:before="280" w:after="140"/>
      </w:pPr>
      <w:r>
        <w:rPr>
          <w:rFonts w:ascii="Times New Roman" w:hAnsi="Times New Roman"/>
          <w:b/>
          <w:i w:val="0"/>
          <w:sz w:val="24"/>
        </w:rPr>
        <w:t>2. Métodos</w:t>
      </w:r>
    </w:p>
    <w:p>
      <w:pPr>
        <w:spacing w:before="200" w:after="100"/>
      </w:pPr>
      <w:r>
        <w:rPr>
          <w:rFonts w:ascii="Times New Roman" w:hAnsi="Times New Roman"/>
          <w:b/>
          <w:i w:val="0"/>
          <w:sz w:val="22"/>
        </w:rPr>
        <w:t>2.1 Protocolo y registro</w:t>
      </w:r>
    </w:p>
    <w:p>
      <w:pPr>
        <w:jc w:val="both"/>
      </w:pPr>
      <w:r>
        <w:rPr>
          <w:rFonts w:ascii="Times New Roman" w:hAnsi="Times New Roman"/>
          <w:b w:val="0"/>
          <w:i w:val="0"/>
          <w:sz w:val="22"/>
        </w:rPr>
        <w:t xml:space="preserve">Esta revisión se condujo conforme a la declaración PRISMA 2020 (8). La lista de comprobación completa acompaña al manuscrito como material suplementario. </w:t>
      </w:r>
      <w:r>
        <w:rPr>
          <w:rFonts w:ascii="Times New Roman" w:hAnsi="Times New Roman"/>
          <w:b/>
          <w:i w:val="0"/>
          <w:sz w:val="22"/>
        </w:rPr>
        <w:t>La revisión no se registró en PROSPERO ni en ningún otro registro prospectivo, y no se depositó un protocolo previo</w:t>
      </w:r>
      <w:r>
        <w:rPr>
          <w:rFonts w:ascii="Times New Roman" w:hAnsi="Times New Roman"/>
          <w:b w:val="0"/>
          <w:i w:val="0"/>
          <w:sz w:val="22"/>
        </w:rPr>
        <w:t>; el protocolo de trabajo y las decisiones metodológicas quedaron fechados en el repositorio versionado desde el inicio (sección 2.8).</w:t>
      </w:r>
    </w:p>
    <w:p>
      <w:pPr>
        <w:spacing w:before="200" w:after="100"/>
      </w:pPr>
      <w:r>
        <w:rPr>
          <w:rFonts w:ascii="Times New Roman" w:hAnsi="Times New Roman"/>
          <w:b/>
          <w:i w:val="0"/>
          <w:sz w:val="22"/>
        </w:rPr>
        <w:t>2.2 Criterios de elegibilidad</w:t>
      </w:r>
    </w:p>
    <w:p>
      <w:pPr>
        <w:jc w:val="both"/>
      </w:pPr>
      <w:r>
        <w:rPr>
          <w:rFonts w:ascii="Times New Roman" w:hAnsi="Times New Roman"/>
          <w:b/>
          <w:i w:val="0"/>
          <w:sz w:val="22"/>
        </w:rPr>
        <w:t>Población.</w:t>
      </w:r>
      <w:r>
        <w:rPr>
          <w:rFonts w:ascii="Times New Roman" w:hAnsi="Times New Roman"/>
          <w:b w:val="0"/>
          <w:i w:val="0"/>
          <w:sz w:val="22"/>
        </w:rPr>
        <w:t xml:space="preserve"> Pacientes humanos con infección por </w:t>
      </w:r>
      <w:r>
        <w:rPr>
          <w:rFonts w:ascii="Times New Roman" w:hAnsi="Times New Roman"/>
          <w:b w:val="0"/>
          <w:i/>
          <w:sz w:val="22"/>
        </w:rPr>
        <w:t>P. aeruginosa</w:t>
      </w:r>
      <w:r>
        <w:rPr>
          <w:rFonts w:ascii="Times New Roman" w:hAnsi="Times New Roman"/>
          <w:b w:val="0"/>
          <w:i w:val="0"/>
          <w:sz w:val="22"/>
        </w:rPr>
        <w:t xml:space="preserve"> clasificada por los autores como multirresistente (MDR), extremadamente resistente (XDR) o panresistente (PDR) según Magiorakos et al. (9), o descrita en términos que impliquen esas categorías. Se admitieron estudios con varios patógenos cuando el subgrupo de </w:t>
      </w:r>
      <w:r>
        <w:rPr>
          <w:rFonts w:ascii="Times New Roman" w:hAnsi="Times New Roman"/>
          <w:b w:val="0"/>
          <w:i/>
          <w:sz w:val="22"/>
        </w:rPr>
        <w:t>P. aeruginosa</w:t>
      </w:r>
      <w:r>
        <w:rPr>
          <w:rFonts w:ascii="Times New Roman" w:hAnsi="Times New Roman"/>
          <w:b w:val="0"/>
          <w:i w:val="0"/>
          <w:sz w:val="22"/>
        </w:rPr>
        <w:t xml:space="preserve"> fuera separable.</w:t>
      </w:r>
    </w:p>
    <w:p>
      <w:pPr>
        <w:jc w:val="both"/>
      </w:pPr>
      <w:r>
        <w:rPr>
          <w:rFonts w:ascii="Times New Roman" w:hAnsi="Times New Roman"/>
          <w:b/>
          <w:i w:val="0"/>
          <w:sz w:val="22"/>
        </w:rPr>
        <w:t>Intervención.</w:t>
      </w:r>
      <w:r>
        <w:rPr>
          <w:rFonts w:ascii="Times New Roman" w:hAnsi="Times New Roman"/>
          <w:b w:val="0"/>
          <w:i w:val="0"/>
          <w:sz w:val="22"/>
        </w:rP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pPr>
        <w:jc w:val="both"/>
      </w:pPr>
      <w:r>
        <w:rPr>
          <w:rFonts w:ascii="Times New Roman" w:hAnsi="Times New Roman"/>
          <w:b/>
          <w:i w:val="0"/>
          <w:sz w:val="22"/>
        </w:rPr>
        <w:t>Comparador.</w:t>
      </w:r>
      <w:r>
        <w:rPr>
          <w:rFonts w:ascii="Times New Roman" w:hAnsi="Times New Roman"/>
          <w:b w:val="0"/>
          <w:i w:val="0"/>
          <w:sz w:val="22"/>
        </w:rPr>
        <w:t xml:space="preserve"> Ninguno exigido, dada la naturaleza esperada de la literatura.</w:t>
      </w:r>
    </w:p>
    <w:p>
      <w:pPr>
        <w:jc w:val="both"/>
      </w:pPr>
      <w:r>
        <w:rPr>
          <w:rFonts w:ascii="Times New Roman" w:hAnsi="Times New Roman"/>
          <w:b/>
          <w:i w:val="0"/>
          <w:sz w:val="22"/>
        </w:rPr>
        <w:t>Desenlaces.</w:t>
      </w:r>
      <w:r>
        <w:rPr>
          <w:rFonts w:ascii="Times New Roman" w:hAnsi="Times New Roman"/>
          <w:b w:val="0"/>
          <w:i w:val="0"/>
          <w:sz w:val="22"/>
        </w:rPr>
        <w:t xml:space="preserve"> Éxito clínico, erradicación microbiológica, mortalidad, eventos adversos y emergencia de resistencia al fago, según la definición de cada estudio.</w:t>
      </w:r>
    </w:p>
    <w:p>
      <w:pPr>
        <w:jc w:val="both"/>
      </w:pPr>
      <w:r>
        <w:rPr>
          <w:rFonts w:ascii="Times New Roman" w:hAnsi="Times New Roman"/>
          <w:b/>
          <w:i w:val="0"/>
          <w:sz w:val="22"/>
        </w:rPr>
        <w:t>Diseños.</w:t>
      </w:r>
      <w:r>
        <w:rPr>
          <w:rFonts w:ascii="Times New Roman" w:hAnsi="Times New Roman"/>
          <w:b w:val="0"/>
          <w:i w:val="0"/>
          <w:sz w:val="22"/>
        </w:rP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pPr>
        <w:jc w:val="both"/>
      </w:pPr>
      <w:r>
        <w:rPr>
          <w:rFonts w:ascii="Times New Roman" w:hAnsi="Times New Roman"/>
          <w:b/>
          <w:i w:val="0"/>
          <w:sz w:val="22"/>
        </w:rPr>
        <w:t>Idioma.</w:t>
      </w:r>
      <w:r>
        <w:rPr>
          <w:rFonts w:ascii="Times New Roman" w:hAnsi="Times New Roman"/>
          <w:b w:val="0"/>
          <w:i w:val="0"/>
          <w:sz w:val="22"/>
        </w:rPr>
        <w:t xml:space="preserve"> Se admitieron informes redactados en inglés o en español. </w:t>
      </w:r>
      <w:r>
        <w:rPr>
          <w:rFonts w:ascii="Times New Roman" w:hAnsi="Times New Roman"/>
          <w:b/>
          <w:i w:val="0"/>
          <w:sz w:val="22"/>
        </w:rPr>
        <w:t>Este criterio no formaba parte del protocolo original y se incorporó el 11 de agosto de 2026, con el cribado ya concluido</w:t>
      </w:r>
      <w:r>
        <w:rPr>
          <w:rFonts w:ascii="Times New Roman" w:hAnsi="Times New Roman"/>
          <w:b w:val="0"/>
          <w:i w:val="0"/>
          <w:sz w:val="22"/>
        </w:rPr>
        <w:t>, de modo que la decisión se tomó conociendo el contenido del corpus. Es exactamente lo que el registro prospectivo existe para impedir, y por eso se declara como enmienda, con su impacto medido, en la sección 2.9 y en las limitaciones.</w:t>
      </w:r>
    </w:p>
    <w:p>
      <w:pPr>
        <w:jc w:val="both"/>
      </w:pPr>
      <w:r>
        <w:rPr>
          <w:rFonts w:ascii="Times New Roman" w:hAnsi="Times New Roman"/>
          <w:b w:val="0"/>
          <w:i w:val="0"/>
          <w:sz w:val="22"/>
        </w:rPr>
        <w:t xml:space="preserve">El idioma no se dedujo del nombre de la revista, que falla en ambos sentidos: </w:t>
      </w:r>
      <w:r>
        <w:rPr>
          <w:rFonts w:ascii="Times New Roman" w:hAnsi="Times New Roman"/>
          <w:b w:val="0"/>
          <w:i/>
          <w:sz w:val="22"/>
        </w:rPr>
        <w:t>Pirogov Russian Journal of Surgery</w:t>
      </w:r>
      <w:r>
        <w:rPr>
          <w:rFonts w:ascii="Times New Roman" w:hAnsi="Times New Roman"/>
          <w:b w:val="0"/>
          <w:i w:val="0"/>
          <w:sz w:val="22"/>
        </w:rP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rFonts w:ascii="Times New Roman" w:hAnsi="Times New Roman"/>
          <w:b/>
          <w:i w:val="0"/>
          <w:sz w:val="22"/>
        </w:rPr>
        <w:t>texto íntegro</w:t>
      </w:r>
      <w:r>
        <w:rPr>
          <w:rFonts w:ascii="Times New Roman" w:hAnsi="Times New Roman"/>
          <w:b w:val="0"/>
          <w:i w:val="0"/>
          <w:sz w:val="22"/>
        </w:rP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pPr>
        <w:jc w:val="both"/>
      </w:pPr>
      <w:r>
        <w:rPr>
          <w:rFonts w:ascii="Times New Roman" w:hAnsi="Times New Roman"/>
          <w:b/>
          <w:i w:val="0"/>
          <w:sz w:val="22"/>
        </w:rPr>
        <w:t>Unidad de inclusión.</w:t>
      </w:r>
      <w:r>
        <w:rPr>
          <w:rFonts w:ascii="Times New Roman" w:hAnsi="Times New Roman"/>
          <w:b w:val="0"/>
          <w:i w:val="0"/>
          <w:sz w:val="22"/>
        </w:rPr>
        <w:t xml:space="preserve"> El </w:t>
      </w:r>
      <w:r>
        <w:rPr>
          <w:rFonts w:ascii="Times New Roman" w:hAnsi="Times New Roman"/>
          <w:b/>
          <w:i w:val="0"/>
          <w:sz w:val="22"/>
        </w:rPr>
        <w:t>estudio</w:t>
      </w:r>
      <w:r>
        <w:rPr>
          <w:rFonts w:ascii="Times New Roman" w:hAnsi="Times New Roman"/>
          <w:b w:val="0"/>
          <w:i w:val="0"/>
          <w:sz w:val="22"/>
        </w:rPr>
        <w:t>, no el informe, conforme a PRISMA 2020. Un protocolo, sus resúmenes de congreso y su publicación final son un solo estudio con varios informes. La decisión y su justificación constan en el registro de decisiones del proyecto.</w:t>
      </w:r>
    </w:p>
    <w:p>
      <w:pPr>
        <w:spacing w:before="200" w:after="100"/>
      </w:pPr>
      <w:r>
        <w:rPr>
          <w:rFonts w:ascii="Times New Roman" w:hAnsi="Times New Roman"/>
          <w:b/>
          <w:i w:val="0"/>
          <w:sz w:val="22"/>
        </w:rPr>
        <w:t>2.3 Fuentes de información y estrategia de búsqueda</w:t>
      </w:r>
    </w:p>
    <w:p>
      <w:pPr>
        <w:jc w:val="both"/>
      </w:pPr>
      <w:r>
        <w:rPr>
          <w:rFonts w:ascii="Times New Roman" w:hAnsi="Times New Roman"/>
          <w:b w:val="0"/>
          <w:i w:val="0"/>
          <w:sz w:val="22"/>
        </w:rPr>
        <w:t xml:space="preserve">Se interrogaron </w:t>
      </w:r>
      <w:r>
        <w:rPr>
          <w:rFonts w:ascii="Times New Roman" w:hAnsi="Times New Roman"/>
          <w:b/>
          <w:i w:val="0"/>
          <w:sz w:val="22"/>
        </w:rPr>
        <w:t>ocho bases de datos y registros</w:t>
      </w:r>
      <w:r>
        <w:rPr>
          <w:rFonts w:ascii="Times New Roman" w:hAnsi="Times New Roman"/>
          <w:b w:val="0"/>
          <w:i w:val="0"/>
          <w:sz w:val="22"/>
        </w:rPr>
        <w:t xml:space="preserve"> en las dos corrientes que PRISMA 2020 exige separar. Como </w:t>
      </w:r>
      <w:r>
        <w:rPr>
          <w:rFonts w:ascii="Times New Roman" w:hAnsi="Times New Roman"/>
          <w:b/>
          <w:i w:val="0"/>
          <w:sz w:val="22"/>
        </w:rPr>
        <w:t>bases bibliográficas</w:t>
      </w:r>
      <w:r>
        <w:rPr>
          <w:rFonts w:ascii="Times New Roman" w:hAnsi="Times New Roman"/>
          <w:b w:val="0"/>
          <w:i w:val="0"/>
          <w:sz w:val="22"/>
        </w:rP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rFonts w:ascii="Times New Roman" w:hAnsi="Times New Roman"/>
          <w:b/>
          <w:i w:val="0"/>
          <w:sz w:val="22"/>
        </w:rPr>
        <w:t>registros de ensayos</w:t>
      </w:r>
      <w:r>
        <w:rPr>
          <w:rFonts w:ascii="Times New Roman" w:hAnsi="Times New Roman"/>
          <w:b w:val="0"/>
          <w:i w:val="0"/>
          <w:sz w:val="22"/>
        </w:rPr>
        <w:t>: ClinicalTrials.gov, EudraCT y CTIS. ProQuest se interrogó y devolvió 4 416 registros, pero no se exportó y no forma parte de este corpus.</w:t>
      </w:r>
    </w:p>
    <w:p>
      <w:pPr>
        <w:jc w:val="both"/>
      </w:pPr>
      <w:r>
        <w:rPr>
          <w:rFonts w:ascii="Times New Roman" w:hAnsi="Times New Roman"/>
          <w:b w:val="0"/>
          <w:i w:val="0"/>
          <w:sz w:val="22"/>
        </w:rP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rFonts w:ascii="Times New Roman" w:hAnsi="Times New Roman"/>
          <w:b/>
          <w:i w:val="0"/>
          <w:sz w:val="22"/>
        </w:rPr>
        <w:t>Embase no se interrogó</w:t>
      </w:r>
      <w:r>
        <w:rPr>
          <w:rFonts w:ascii="Times New Roman" w:hAnsi="Times New Roman"/>
          <w:b w:val="0"/>
          <w:i w:val="0"/>
          <w:sz w:val="22"/>
        </w:rPr>
        <w:t>, por no estar disponible en la suscripción institucional, y tampoco el ICTRP de la OMS. La última ejecución fue el 10 de agosto de 2026.</w:t>
      </w:r>
    </w:p>
    <w:p>
      <w:pPr>
        <w:jc w:val="both"/>
      </w:pPr>
      <w:r>
        <w:rPr>
          <w:rFonts w:ascii="Times New Roman" w:hAnsi="Times New Roman"/>
          <w:b w:val="0"/>
          <w:i w:val="0"/>
          <w:sz w:val="22"/>
        </w:rP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spacing w:before="200" w:after="100"/>
      </w:pPr>
      <w:r>
        <w:rPr>
          <w:rFonts w:ascii="Times New Roman" w:hAnsi="Times New Roman"/>
          <w:b/>
          <w:i w:val="0"/>
          <w:sz w:val="22"/>
        </w:rPr>
        <w:t>2.4 Selección de los estudios</w:t>
      </w:r>
    </w:p>
    <w:p>
      <w:pPr>
        <w:jc w:val="both"/>
      </w:pPr>
      <w:r>
        <w:rPr>
          <w:rFonts w:ascii="Times New Roman" w:hAnsi="Times New Roman"/>
          <w:b w:val="0"/>
          <w:i w:val="0"/>
          <w:sz w:val="22"/>
        </w:rPr>
        <w:t xml:space="preserve">La deduplicación cruzó DOI, PMID y NCT de forma transitiva mediante </w:t>
      </w:r>
      <w:r>
        <w:rPr>
          <w:rFonts w:ascii="Times New Roman" w:hAnsi="Times New Roman"/>
          <w:b w:val="0"/>
          <w:i/>
          <w:sz w:val="22"/>
        </w:rPr>
        <w:t>union-find</w:t>
      </w:r>
      <w:r>
        <w:rPr>
          <w:rFonts w:ascii="Times New Roman" w:hAnsi="Times New Roman"/>
          <w:b w:val="0"/>
          <w:i w:val="0"/>
          <w:sz w:val="22"/>
        </w:rPr>
        <w:t xml:space="preserve">. Los identificadores se leyeron </w:t>
      </w:r>
      <w:r>
        <w:rPr>
          <w:rFonts w:ascii="Times New Roman" w:hAnsi="Times New Roman"/>
          <w:b/>
          <w:i w:val="0"/>
          <w:sz w:val="22"/>
        </w:rPr>
        <w:t>solo</w:t>
      </w:r>
      <w:r>
        <w:rPr>
          <w:rFonts w:ascii="Times New Roman" w:hAnsi="Times New Roman"/>
          <w:b w:val="0"/>
          <w:i w:val="0"/>
          <w:sz w:val="22"/>
        </w:rP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pPr>
        <w:jc w:val="both"/>
      </w:pPr>
      <w:r>
        <w:rPr>
          <w:rFonts w:ascii="Times New Roman" w:hAnsi="Times New Roman"/>
          <w:b w:val="0"/>
          <w:i w:val="0"/>
          <w:sz w:val="22"/>
        </w:rPr>
        <w:t xml:space="preserve">La selección se hizo en tres etapas. La </w:t>
      </w:r>
      <w:r>
        <w:rPr>
          <w:rFonts w:ascii="Times New Roman" w:hAnsi="Times New Roman"/>
          <w:b/>
          <w:i w:val="0"/>
          <w:sz w:val="22"/>
        </w:rPr>
        <w:t>etapa 1</w:t>
      </w:r>
      <w:r>
        <w:rPr>
          <w:rFonts w:ascii="Times New Roman" w:hAnsi="Times New Roman"/>
          <w:b w:val="0"/>
          <w:i w:val="0"/>
          <w:sz w:val="22"/>
        </w:rPr>
        <w:t xml:space="preserve"> aplicó reglas explícitas y auditables: sin título, tipo documental sin datos primarios, ámbito animal declarado en MeSH, y fago empleado como herramienta de laboratorio. La </w:t>
      </w:r>
      <w:r>
        <w:rPr>
          <w:rFonts w:ascii="Times New Roman" w:hAnsi="Times New Roman"/>
          <w:b/>
          <w:i w:val="0"/>
          <w:sz w:val="22"/>
        </w:rPr>
        <w:t>etapa 2</w:t>
      </w:r>
      <w:r>
        <w:rPr>
          <w:rFonts w:ascii="Times New Roman" w:hAnsi="Times New Roman"/>
          <w:b w:val="0"/>
          <w:i w:val="0"/>
          <w:sz w:val="22"/>
        </w:rPr>
        <w:t xml:space="preserve"> cribó títulos y la </w:t>
      </w:r>
      <w:r>
        <w:rPr>
          <w:rFonts w:ascii="Times New Roman" w:hAnsi="Times New Roman"/>
          <w:b/>
          <w:i w:val="0"/>
          <w:sz w:val="22"/>
        </w:rPr>
        <w:t>etapa 3</w:t>
      </w:r>
      <w:r>
        <w:rPr>
          <w:rFonts w:ascii="Times New Roman" w:hAnsi="Times New Roman"/>
          <w:b w:val="0"/>
          <w:i w:val="0"/>
          <w:sz w:val="22"/>
        </w:rPr>
        <w:t xml:space="preserve">, resúmenes. Ambas usaron un </w:t>
      </w:r>
      <w:r>
        <w:rPr>
          <w:rFonts w:ascii="Times New Roman" w:hAnsi="Times New Roman"/>
          <w:b/>
          <w:i w:val="0"/>
          <w:sz w:val="22"/>
        </w:rPr>
        <w:t>vocabulario cerrado de seis códigos</w:t>
      </w:r>
      <w:r>
        <w:rPr>
          <w:rFonts w:ascii="Times New Roman" w:hAnsi="Times New Roman"/>
          <w:b w:val="0"/>
          <w:i w:val="0"/>
          <w:sz w:val="22"/>
        </w:rPr>
        <w:t xml:space="preserve"> (ORG, REV, SEC, LAB, VET, OFF) fijado antes de empezar. Un motivo que no encaje en uno de los seis no recibe un séptimo código improvisado sobre la marcha: el registro avanza a la etapa siguiente en lugar de excluirse.</w:t>
      </w:r>
    </w:p>
    <w:p>
      <w:pPr>
        <w:jc w:val="both"/>
      </w:pPr>
      <w:r>
        <w:rPr>
          <w:rFonts w:ascii="Times New Roman" w:hAnsi="Times New Roman"/>
          <w:b w:val="0"/>
          <w:i w:val="0"/>
          <w:sz w:val="22"/>
        </w:rPr>
        <w:t xml:space="preserve">La etapa 1 es determinista: la ejecuta un script y cada exclusión nombra la regla que disparó. Las etapas 2 y 3 las condujo </w:t>
      </w:r>
      <w:r>
        <w:rPr>
          <w:rFonts w:ascii="Times New Roman" w:hAnsi="Times New Roman"/>
          <w:b/>
          <w:i w:val="0"/>
          <w:sz w:val="22"/>
        </w:rPr>
        <w:t>un solo revisor humano (D.V.), sin duplicación por un segundo revisor</w:t>
      </w:r>
      <w:r>
        <w:rPr>
          <w:rFonts w:ascii="Times New Roman" w:hAnsi="Times New Roman"/>
          <w:b w:val="0"/>
          <w:i w:val="0"/>
          <w:sz w:val="22"/>
        </w:rP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pPr>
        <w:jc w:val="both"/>
      </w:pPr>
      <w:r>
        <w:rPr>
          <w:rFonts w:ascii="Times New Roman" w:hAnsi="Times New Roman"/>
          <w:b w:val="0"/>
          <w:i w:val="0"/>
          <w:sz w:val="22"/>
        </w:rP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pPr>
        <w:jc w:val="both"/>
      </w:pPr>
      <w:r>
        <w:rPr>
          <w:rFonts w:ascii="Times New Roman" w:hAnsi="Times New Roman"/>
          <w:b w:val="0"/>
          <w:i w:val="0"/>
          <w:sz w:val="22"/>
        </w:rPr>
        <w:t xml:space="preserve">Conviene distinguir dos cosas que el término «extracción» confunde. La </w:t>
      </w:r>
      <w:r>
        <w:rPr>
          <w:rFonts w:ascii="Times New Roman" w:hAnsi="Times New Roman"/>
          <w:b/>
          <w:i w:val="0"/>
          <w:sz w:val="22"/>
        </w:rPr>
        <w:t>pre-extracción desde el resumen</w:t>
      </w:r>
      <w:r>
        <w:rPr>
          <w:rFonts w:ascii="Times New Roman" w:hAnsi="Times New Roman"/>
          <w:b w:val="0"/>
          <w:i w:val="0"/>
          <w:sz w:val="22"/>
        </w:rPr>
        <w:t xml:space="preserve">, que es la fuente de las cifras estructurales de este artículo (secciones 3.1 a 3.4), la emitió el mismo modelo bajo el esquema de variables fijado de antemano, y cada registro quedó marcado como parcial. La </w:t>
      </w:r>
      <w:r>
        <w:rPr>
          <w:rFonts w:ascii="Times New Roman" w:hAnsi="Times New Roman"/>
          <w:b/>
          <w:i w:val="0"/>
          <w:sz w:val="22"/>
        </w:rPr>
        <w:t>extracción desde el texto completo</w:t>
      </w:r>
      <w:r>
        <w:rPr>
          <w:rFonts w:ascii="Times New Roman" w:hAnsi="Times New Roman"/>
          <w:b w:val="0"/>
          <w:i w:val="0"/>
          <w:sz w:val="22"/>
        </w:rPr>
        <w:t>, de la que salen la sección 3.5 y la tabla 5, la realizaron los dos revisores a mano y sin intervención del modelo (sección 2.6).</w:t>
      </w:r>
    </w:p>
    <w:p>
      <w:pPr>
        <w:jc w:val="both"/>
      </w:pPr>
      <w:r>
        <w:rPr>
          <w:rFonts w:ascii="Times New Roman" w:hAnsi="Times New Roman"/>
          <w:b w:val="0"/>
          <w:i w:val="0"/>
          <w:sz w:val="22"/>
        </w:rPr>
        <w:t xml:space="preserve">Los registros de decisión son </w:t>
      </w:r>
      <w:r>
        <w:rPr>
          <w:rFonts w:ascii="Times New Roman" w:hAnsi="Times New Roman"/>
          <w:b/>
          <w:i w:val="0"/>
          <w:sz w:val="22"/>
        </w:rPr>
        <w:t>solo-anexar</w:t>
      </w:r>
      <w:r>
        <w:rPr>
          <w:rFonts w:ascii="Times New Roman" w:hAnsi="Times New Roman"/>
          <w:b w:val="0"/>
          <w:i w:val="0"/>
          <w:sz w:val="22"/>
        </w:rPr>
        <w:t>. Una corrección es una fila nueva que sustituye a la anterior; ambas permanecen. Esta revisión tuvo que corregir una exclusión errónea, y esa corrección solo es auditable porque la fila original sobrevivió.</w:t>
      </w:r>
    </w:p>
    <w:p>
      <w:pPr>
        <w:spacing w:before="200" w:after="100"/>
      </w:pPr>
      <w:r>
        <w:rPr>
          <w:rFonts w:ascii="Times New Roman" w:hAnsi="Times New Roman"/>
          <w:b/>
          <w:i w:val="0"/>
          <w:sz w:val="22"/>
        </w:rPr>
        <w:t>2.5 Auditoría de control positivo y validación del cribado</w:t>
      </w:r>
    </w:p>
    <w:p>
      <w:pPr>
        <w:jc w:val="both"/>
      </w:pPr>
      <w:r>
        <w:rPr>
          <w:rFonts w:ascii="Times New Roman" w:hAnsi="Times New Roman"/>
          <w:b w:val="0"/>
          <w:i w:val="0"/>
          <w:sz w:val="22"/>
        </w:rPr>
        <w:t xml:space="preserve">Antes de iniciar el cribado se fijó un conjunto de 40 estudios conocidos a priori como elegibles, identificados en una revisión exploratoria previa. Tras cada etapa se comprobó que </w:t>
      </w:r>
      <w:r>
        <w:rPr>
          <w:rFonts w:ascii="Times New Roman" w:hAnsi="Times New Roman"/>
          <w:b/>
          <w:i w:val="0"/>
          <w:sz w:val="22"/>
        </w:rPr>
        <w:t>ningún estudio de ese conjunto perdiera todos sus informes</w:t>
      </w:r>
      <w:r>
        <w:rPr>
          <w:rFonts w:ascii="Times New Roman" w:hAnsi="Times New Roman"/>
          <w:b w:val="0"/>
          <w:i w:val="0"/>
          <w:sz w:val="22"/>
        </w:rP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jc w:val="both"/>
      </w:pPr>
      <w:r>
        <w:rPr>
          <w:rFonts w:ascii="Times New Roman" w:hAnsi="Times New Roman"/>
          <w:b/>
          <w:i w:val="0"/>
          <w:sz w:val="22"/>
        </w:rPr>
        <w:t>Validación sobre los registros excluidos.</w:t>
      </w:r>
      <w:r>
        <w:rPr>
          <w:rFonts w:ascii="Times New Roman" w:hAnsi="Times New Roman"/>
          <w:b w:val="0"/>
          <w:i w:val="0"/>
          <w:sz w:val="22"/>
        </w:rP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rFonts w:ascii="Times New Roman" w:hAnsi="Times New Roman"/>
          <w:b/>
          <w:i w:val="0"/>
          <w:sz w:val="22"/>
        </w:rPr>
        <w:t>La tasa de exclusión errónea fue del 0,0 % (0 de 350; IC 95 % exacto, 0,00 a 1,05 %)</w:t>
      </w:r>
      <w:r>
        <w:rPr>
          <w:rFonts w:ascii="Times New Roman" w:hAnsi="Times New Roman"/>
          <w:b w:val="0"/>
          <w:i w:val="0"/>
          <w:sz w:val="22"/>
        </w:rPr>
        <w:t>, lo que sobre el marco de 13 661 admite hasta 143 registros perdidos. La adjudicación se aporta como suplemento.</w:t>
      </w:r>
    </w:p>
    <w:p>
      <w:pPr>
        <w:spacing w:before="200" w:after="100"/>
      </w:pPr>
      <w:r>
        <w:rPr>
          <w:rFonts w:ascii="Times New Roman" w:hAnsi="Times New Roman"/>
          <w:b/>
          <w:i w:val="0"/>
          <w:sz w:val="22"/>
        </w:rPr>
        <w:t>2.6 Extracción de datos</w:t>
      </w:r>
    </w:p>
    <w:p>
      <w:pPr>
        <w:jc w:val="both"/>
      </w:pPr>
      <w:r>
        <w:rPr>
          <w:rFonts w:ascii="Times New Roman" w:hAnsi="Times New Roman"/>
          <w:b w:val="0"/>
          <w:i w:val="0"/>
          <w:sz w:val="22"/>
        </w:rPr>
        <w:t xml:space="preserve">El formulario de extracción, con 23 variables de datos y vocabularios controlados, se piloteó sobre cinco estudios antes de su uso. La extracción se hizo </w:t>
      </w:r>
      <w:r>
        <w:rPr>
          <w:rFonts w:ascii="Times New Roman" w:hAnsi="Times New Roman"/>
          <w:b/>
          <w:i w:val="0"/>
          <w:sz w:val="22"/>
        </w:rPr>
        <w:t>por duplicado e independiente</w:t>
      </w:r>
      <w:r>
        <w:rPr>
          <w:rFonts w:ascii="Times New Roman" w:hAnsi="Times New Roman"/>
          <w:b w:val="0"/>
          <w:i w:val="0"/>
          <w:sz w:val="22"/>
        </w:rPr>
        <w:t xml:space="preserve"> entre los dos revisores. Un revisor extrajo los 124 estudios que entonces tenían publicación recuperable —95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525 de 541 adjudicadas. De las 16 restantes, 2 se habían cerrado antes aplicando una regla mecánica sobre una comparación posteriormente rehecha y no llevan firma conjunta, y 14 siguen abiertas: 10 porque el formulario no ofrecía la opción «no derivable» en los campos donde los revisores la necesitaban, y 4 por datos que exigen releer el artículo. El registro completo, resuelto a resuelto, se aporta como suplemento.</w:t>
      </w:r>
    </w:p>
    <w:p>
      <w:pPr>
        <w:jc w:val="both"/>
      </w:pPr>
      <w:r>
        <w:rPr>
          <w:rFonts w:ascii="Times New Roman" w:hAnsi="Times New Roman"/>
          <w:b w:val="0"/>
          <w:i w:val="0"/>
          <w:sz w:val="22"/>
        </w:rPr>
        <w:t>La caracterización estructural del corpus (secciones 3.1 a 3.4, tablas 1 a 4) procede de una pre-extracción sistemática desde el resumen de los 95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spacing w:before="200" w:after="100"/>
      </w:pPr>
      <w:r>
        <w:rPr>
          <w:rFonts w:ascii="Times New Roman" w:hAnsi="Times New Roman"/>
          <w:b/>
          <w:i w:val="0"/>
          <w:sz w:val="22"/>
        </w:rPr>
        <w:t>2.7 Riesgo de sesgo y certeza</w:t>
      </w:r>
    </w:p>
    <w:p>
      <w:pPr>
        <w:jc w:val="both"/>
      </w:pPr>
      <w:r>
        <w:rPr>
          <w:rFonts w:ascii="Times New Roman" w:hAnsi="Times New Roman"/>
          <w:b w:val="0"/>
          <w:i w:val="0"/>
          <w:sz w:val="22"/>
        </w:rPr>
        <w:t xml:space="preserve">El riesgo de sesgo se evalúa </w:t>
      </w:r>
      <w:r>
        <w:rPr>
          <w:rFonts w:ascii="Times New Roman" w:hAnsi="Times New Roman"/>
          <w:b/>
          <w:i w:val="0"/>
          <w:sz w:val="22"/>
        </w:rPr>
        <w:t>solo en los estudios con diseño comparativo y solo en aquellos cuyo texto completo se obtuvo</w:t>
      </w:r>
      <w:r>
        <w:rPr>
          <w:rFonts w:ascii="Times New Roman" w:hAnsi="Times New Roman"/>
          <w:b w:val="0"/>
          <w:i w:val="0"/>
          <w:sz w:val="22"/>
        </w:rPr>
        <w:t>: 11 de los 12 que el diseño adjudicado sobre el artículo identifica como comparativos. Los ensayos aleatorizados con RoB 2 (10) y los no aleatorizados y las cohortes con ROBINS-I (11). El estudio restante es un ensayo aleatorizado sin texto completo: no se evalúa, y tampoco recibe un juicio desfavorable por esa razón.</w:t>
      </w:r>
    </w:p>
    <w:p>
      <w:pPr>
        <w:jc w:val="both"/>
      </w:pPr>
      <w:r>
        <w:rPr>
          <w:rFonts w:ascii="Times New Roman" w:hAnsi="Times New Roman"/>
          <w:b w:val="0"/>
          <w:i w:val="0"/>
          <w:sz w:val="22"/>
        </w:rPr>
        <w:t xml:space="preserve">La evaluación se emite </w:t>
      </w:r>
      <w:r>
        <w:rPr>
          <w:rFonts w:ascii="Times New Roman" w:hAnsi="Times New Roman"/>
          <w:b/>
          <w:i w:val="0"/>
          <w:sz w:val="22"/>
        </w:rPr>
        <w:t>a nivel de dominio</w:t>
      </w:r>
      <w:r>
        <w:rPr>
          <w:rFonts w:ascii="Times New Roman" w:hAnsi="Times New Roman"/>
          <w:b w:val="0"/>
          <w:i w:val="0"/>
          <w:sz w:val="22"/>
        </w:rP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(12,13).</w:t>
      </w:r>
    </w:p>
    <w:p>
      <w:pPr>
        <w:jc w:val="both"/>
      </w:pPr>
      <w:r>
        <w:rPr>
          <w:rFonts w:ascii="Times New Roman" w:hAnsi="Times New Roman"/>
          <w:b/>
          <w:i w:val="0"/>
          <w:sz w:val="22"/>
        </w:rPr>
        <w:t>Los juicios se emiten por consenso entre los dos autores, no por duplicado independiente.</w:t>
      </w:r>
      <w:r>
        <w:rPr>
          <w:rFonts w:ascii="Times New Roman" w:hAnsi="Times New Roman"/>
          <w:b w:val="0"/>
          <w:i w:val="0"/>
          <w:sz w:val="22"/>
        </w:rPr>
        <w:t xml:space="preserve"> A diferencia de la extracción de datos (sección 2.6), esta evaluación no admite una medida de concordancia entre revisores, y no se reporta ninguna. La limitación consta en la sección 4.4.</w:t>
      </w:r>
    </w:p>
    <w:p>
      <w:pPr>
        <w:jc w:val="both"/>
      </w:pPr>
      <w:r>
        <w:rPr>
          <w:rFonts w:ascii="Times New Roman" w:hAnsi="Times New Roman"/>
          <w:b/>
          <w:i w:val="0"/>
          <w:sz w:val="22"/>
        </w:rPr>
        <w:t>GRADE no se aplica</w:t>
      </w:r>
      <w:r>
        <w:rPr>
          <w:rFonts w:ascii="Times New Roman" w:hAnsi="Times New Roman"/>
          <w:b w:val="0"/>
          <w:i w:val="0"/>
          <w:sz w:val="22"/>
        </w:rPr>
        <w:t>, y el motivo no depende de lo anterior: califica la certeza de una estimación agrupada y esta revisión no presenta ninguna. La sección 3.5 muestra que solo 2 de los 103 brazos reúnen los requisitos mínimos para agregar, y ninguno los conserva tras aplicar los criterios de elegibilidad. Calificar la certeza de un resultado que no existe sería un trámite, no una evaluación (14).</w:t>
      </w:r>
    </w:p>
    <w:p>
      <w:pPr>
        <w:jc w:val="both"/>
      </w:pPr>
      <w:r>
        <w:rPr>
          <w:rFonts w:ascii="Times New Roman" w:hAnsi="Times New Roman"/>
          <w:b w:val="0"/>
          <w:i w:val="0"/>
          <w:sz w:val="22"/>
        </w:rPr>
        <w:t>La sección 3.7 reporta los 82 juicios y la tabla de dominios.</w:t>
      </w:r>
    </w:p>
    <w:p>
      <w:pPr>
        <w:spacing w:before="200" w:after="100"/>
      </w:pPr>
      <w:r>
        <w:rPr>
          <w:rFonts w:ascii="Times New Roman" w:hAnsi="Times New Roman"/>
          <w:b/>
          <w:i w:val="0"/>
          <w:sz w:val="22"/>
        </w:rPr>
        <w:t>2.8 Métodos de síntesis y reproducibilidad</w:t>
      </w:r>
    </w:p>
    <w:p>
      <w:pPr>
        <w:jc w:val="both"/>
      </w:pPr>
      <w:r>
        <w:rPr>
          <w:rFonts w:ascii="Times New Roman" w:hAnsi="Times New Roman"/>
          <w:b w:val="0"/>
          <w:i w:val="0"/>
          <w:sz w:val="22"/>
        </w:rPr>
        <w:t>La viabilidad de un metaanálisis de proporciones se evaluó de forma explícita frente a los requisitos habituales de ese diseño (15,16): denominadores interpretables, desenlace comparable entre estudios e intervención suficientemente homogénea. El resultado de esa evaluación se presenta en la sección 3.6.</w:t>
      </w:r>
    </w:p>
    <w:p>
      <w:pPr>
        <w:jc w:val="both"/>
      </w:pPr>
      <w:r>
        <w:rPr>
          <w:rFonts w:ascii="Times New Roman" w:hAnsi="Times New Roman"/>
          <w:b w:val="0"/>
          <w:i w:val="0"/>
          <w:sz w:val="22"/>
        </w:rP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spacing w:before="200" w:after="100"/>
      </w:pPr>
      <w:r>
        <w:rPr>
          <w:rFonts w:ascii="Times New Roman" w:hAnsi="Times New Roman"/>
          <w:b/>
          <w:i w:val="0"/>
          <w:sz w:val="22"/>
        </w:rPr>
        <w:t>2.9 Dos enmiendas al protocolo</w:t>
      </w:r>
    </w:p>
    <w:p>
      <w:pPr>
        <w:jc w:val="both"/>
      </w:pPr>
      <w:r>
        <w:rPr>
          <w:rFonts w:ascii="Times New Roman" w:hAnsi="Times New Roman"/>
          <w:b w:val="0"/>
          <w:i w:val="0"/>
          <w:sz w:val="22"/>
        </w:rP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pPr>
        <w:jc w:val="both"/>
      </w:pPr>
      <w:r>
        <w:rPr>
          <w:rFonts w:ascii="Times New Roman" w:hAnsi="Times New Roman"/>
          <w:b w:val="0"/>
          <w:i w:val="0"/>
          <w:sz w:val="22"/>
        </w:rPr>
        <w:t xml:space="preserve">Su efecto se midió antes de adoptarla, y no fue menor. Excluyó </w:t>
      </w:r>
      <w:r>
        <w:rPr>
          <w:rFonts w:ascii="Times New Roman" w:hAnsi="Times New Roman"/>
          <w:b/>
          <w:i w:val="0"/>
          <w:sz w:val="22"/>
        </w:rPr>
        <w:t>35 informes</w:t>
      </w:r>
      <w:r>
        <w:rPr>
          <w:rFonts w:ascii="Times New Roman" w:hAnsi="Times New Roman"/>
          <w:b w:val="0"/>
          <w:i w:val="0"/>
          <w:sz w:val="22"/>
        </w:rPr>
        <w:t xml:space="preserve"> y con ellos </w:t>
      </w:r>
      <w:r>
        <w:rPr>
          <w:rFonts w:ascii="Times New Roman" w:hAnsi="Times New Roman"/>
          <w:b/>
          <w:i w:val="0"/>
          <w:sz w:val="22"/>
        </w:rPr>
        <w:t>35 estudios completos</w:t>
      </w:r>
      <w:r>
        <w:rPr>
          <w:rFonts w:ascii="Times New Roman" w:hAnsi="Times New Roman"/>
          <w:b w:val="0"/>
          <w:i w:val="0"/>
          <w:sz w:val="22"/>
        </w:rP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pPr>
        <w:jc w:val="both"/>
      </w:pPr>
      <w:r>
        <w:rPr>
          <w:rFonts w:ascii="Times New Roman" w:hAnsi="Times New Roman"/>
          <w:b w:val="0"/>
          <w:i w:val="0"/>
          <w:sz w:val="22"/>
        </w:rPr>
        <w:t xml:space="preserve">La auditoría de controles positivos registró además una pérdida concreta. </w:t>
      </w:r>
      <w:r>
        <w:rPr>
          <w:rFonts w:ascii="Times New Roman" w:hAnsi="Times New Roman"/>
          <w:b/>
          <w:i w:val="0"/>
          <w:sz w:val="22"/>
        </w:rPr>
        <w:t>Ronit et al. (2024)</w:t>
      </w:r>
      <w:r>
        <w:rPr>
          <w:rFonts w:ascii="Times New Roman" w:hAnsi="Times New Roman"/>
          <w:b w:val="0"/>
          <w:i w:val="0"/>
          <w:sz w:val="22"/>
        </w:rPr>
        <w:t xml:space="preserve">, un caso de fagoterapia en prótesis vascular infectada por </w:t>
      </w:r>
      <w:r>
        <w:rPr>
          <w:rFonts w:ascii="Times New Roman" w:hAnsi="Times New Roman"/>
          <w:b w:val="0"/>
          <w:i/>
          <w:sz w:val="22"/>
        </w:rPr>
        <w:t>P. aeruginosa</w:t>
      </w:r>
      <w:r>
        <w:rPr>
          <w:rFonts w:ascii="Times New Roman" w:hAnsi="Times New Roman"/>
          <w:b w:val="0"/>
          <w:i w:val="0"/>
          <w:sz w:val="22"/>
        </w:rPr>
        <w:t xml:space="preserve"> publicado en danés en </w:t>
      </w:r>
      <w:r>
        <w:rPr>
          <w:rFonts w:ascii="Times New Roman" w:hAnsi="Times New Roman"/>
          <w:b w:val="0"/>
          <w:i/>
          <w:sz w:val="22"/>
        </w:rPr>
        <w:t>Ugeskrift for Læger</w:t>
      </w:r>
      <w:r>
        <w:rPr>
          <w:rFonts w:ascii="Times New Roman" w:hAnsi="Times New Roman"/>
          <w:b w:val="0"/>
          <w:i w:val="0"/>
          <w:sz w:val="22"/>
        </w:rP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pPr>
        <w:jc w:val="both"/>
      </w:pPr>
      <w:r>
        <w:rPr>
          <w:rFonts w:ascii="Times New Roman" w:hAnsi="Times New Roman"/>
          <w:b w:val="0"/>
          <w:i w:val="0"/>
          <w:sz w:val="22"/>
        </w:rPr>
        <w:t>Las cifras de la revisión sin la enmienda se conservan íntegras en el registro de decisiones, que es solo-anexar, de modo que cualquier lector puede reconstruir el corpus previo y comprobar el efecto por sí mismo.</w:t>
      </w:r>
    </w:p>
    <w:p>
      <w:pPr>
        <w:jc w:val="both"/>
      </w:pPr>
      <w:r>
        <w:rPr>
          <w:rFonts w:ascii="Times New Roman" w:hAnsi="Times New Roman"/>
          <w:b/>
          <w:i w:val="0"/>
          <w:sz w:val="22"/>
        </w:rPr>
        <w:t>Segunda enmienda: los estudios cuyo texto completo no se consiguió salen del corpus.</w:t>
      </w:r>
      <w:r>
        <w:rPr>
          <w:rFonts w:ascii="Times New Roman" w:hAnsi="Times New Roman"/>
          <w:b w:val="0"/>
          <w:i w:val="0"/>
          <w:sz w:val="22"/>
        </w:rPr>
        <w:t xml:space="preserve"> Adoptada el 2 de septiembre de 2026, también con el cribado concluido. Es de otra naturaleza que la primera y conviene no disimularlo: los demás motivos de exclusión se refieren a lo que el </w:t>
      </w:r>
      <w:r>
        <w:rPr>
          <w:rFonts w:ascii="Times New Roman" w:hAnsi="Times New Roman"/>
          <w:b/>
          <w:i w:val="0"/>
          <w:sz w:val="22"/>
        </w:rPr>
        <w:t>artículo dice</w:t>
      </w:r>
      <w:r>
        <w:rPr>
          <w:rFonts w:ascii="Times New Roman" w:hAnsi="Times New Roman"/>
          <w:b w:val="0"/>
          <w:i w:val="0"/>
          <w:sz w:val="22"/>
        </w:rPr>
        <w:t xml:space="preserve"> —no hay pacientes, no hay resultados, el patógeno está en la etiqueta del producto—, mientras que este se refiere a lo que </w:t>
      </w:r>
      <w:r>
        <w:rPr>
          <w:rFonts w:ascii="Times New Roman" w:hAnsi="Times New Roman"/>
          <w:b/>
          <w:i w:val="0"/>
          <w:sz w:val="22"/>
        </w:rPr>
        <w:t>esta revisión no pudo leer</w:t>
      </w:r>
      <w:r>
        <w:rPr>
          <w:rFonts w:ascii="Times New Roman" w:hAnsi="Times New Roman"/>
          <w:b w:val="0"/>
          <w:i w:val="0"/>
          <w:sz w:val="22"/>
        </w:rPr>
        <w:t>, que es una propiedad del proceso y no del estudio.</w:t>
      </w:r>
    </w:p>
    <w:p>
      <w:pPr>
        <w:jc w:val="both"/>
      </w:pPr>
      <w:r>
        <w:rPr>
          <w:rFonts w:ascii="Times New Roman" w:hAnsi="Times New Roman"/>
          <w:b w:val="0"/>
          <w:i w:val="0"/>
          <w:sz w:val="22"/>
        </w:rPr>
        <w:t xml:space="preserve">Su efecto medido: excluye </w:t>
      </w:r>
      <w:r>
        <w:rPr>
          <w:rFonts w:ascii="Times New Roman" w:hAnsi="Times New Roman"/>
          <w:b/>
          <w:i w:val="0"/>
          <w:sz w:val="22"/>
        </w:rPr>
        <w:t>1 estudio</w:t>
      </w:r>
      <w:r>
        <w:rPr>
          <w:rFonts w:ascii="Times New Roman" w:hAnsi="Times New Roman"/>
          <w:b w:val="0"/>
          <w:i w:val="0"/>
          <w:sz w:val="22"/>
        </w:rP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rFonts w:ascii="Times New Roman" w:hAnsi="Times New Roman"/>
          <w:b/>
          <w:i w:val="0"/>
          <w:sz w:val="22"/>
        </w:rPr>
        <w:t>aplicado a los 24 estudios que siguen sin texto completo, el corpus pasaría de 155 a 131 estudios, los comparativos de 11 a 5 y los ensayos aleatorizados de 7 a 3</w:t>
      </w:r>
      <w:r>
        <w:rPr>
          <w:rFonts w:ascii="Times New Roman" w:hAnsi="Times New Roman"/>
          <w:b w:val="0"/>
          <w:i w:val="0"/>
          <w:sz w:val="22"/>
        </w:rPr>
        <w:t xml:space="preserve">, y la tasa de recuperación de texto completo pasaría a ser del 100 % </w:t>
      </w:r>
      <w:r>
        <w:rPr>
          <w:rFonts w:ascii="Times New Roman" w:hAnsi="Times New Roman"/>
          <w:b/>
          <w:i w:val="0"/>
          <w:sz w:val="22"/>
        </w:rPr>
        <w:t>por construcción</w:t>
      </w:r>
      <w:r>
        <w:rPr>
          <w:rFonts w:ascii="Times New Roman" w:hAnsi="Times New Roman"/>
          <w:b w:val="0"/>
          <w:i w:val="0"/>
          <w:sz w:val="22"/>
        </w:rPr>
        <w:t>. Es decir, el sesgo de recuperación que la sección 3.2 mide dejaría de poder medirse, porque el criterio lo elimina por definición en lugar de resolverlo. Esta revisión no lo aplica de esa forma, y el lector debe saber que la cifra del 74,7 % convive con una exclusión que, generalizada, la volvería vacía.</w:t>
      </w:r>
    </w:p>
    <w:p>
      <w:pPr>
        <w:spacing w:before="280" w:after="140"/>
      </w:pPr>
      <w:r>
        <w:rPr>
          <w:rFonts w:ascii="Times New Roman" w:hAnsi="Times New Roman"/>
          <w:b/>
          <w:i w:val="0"/>
          <w:sz w:val="24"/>
        </w:rPr>
        <w:t>3. Resultados</w:t>
      </w:r>
    </w:p>
    <w:p>
      <w:pPr>
        <w:spacing w:before="200" w:after="100"/>
      </w:pPr>
      <w:r>
        <w:rPr>
          <w:rFonts w:ascii="Times New Roman" w:hAnsi="Times New Roman"/>
          <w:b/>
          <w:i w:val="0"/>
          <w:sz w:val="22"/>
        </w:rPr>
        <w:t>3.1 Selección de los estudios</w:t>
      </w:r>
    </w:p>
    <w:p>
      <w:pPr>
        <w:jc w:val="both"/>
      </w:pPr>
      <w:r>
        <w:rPr>
          <w:rFonts w:ascii="Times New Roman" w:hAnsi="Times New Roman"/>
          <w:b w:val="0"/>
          <w:i w:val="0"/>
          <w:sz w:val="22"/>
        </w:rPr>
        <w:t xml:space="preserve">Las ocho fuentes aportaron </w:t>
      </w:r>
      <w:r>
        <w:rPr>
          <w:rFonts w:ascii="Times New Roman" w:hAnsi="Times New Roman"/>
          <w:b/>
          <w:i w:val="0"/>
          <w:sz w:val="22"/>
        </w:rPr>
        <w:t>23 057 registros</w:t>
      </w:r>
      <w:r>
        <w:rPr>
          <w:rFonts w:ascii="Times New Roman" w:hAnsi="Times New Roman"/>
          <w:b w:val="0"/>
          <w:i w:val="0"/>
          <w:sz w:val="22"/>
        </w:rPr>
        <w:t xml:space="preserve">, de los que se eliminaron 5 928 duplicados para dejar </w:t>
      </w:r>
      <w:r>
        <w:rPr>
          <w:rFonts w:ascii="Times New Roman" w:hAnsi="Times New Roman"/>
          <w:b/>
          <w:i w:val="0"/>
          <w:sz w:val="22"/>
        </w:rPr>
        <w:t>17 129 informes únicos</w:t>
      </w:r>
      <w:r>
        <w:rPr>
          <w:rFonts w:ascii="Times New Roman" w:hAnsi="Times New Roman"/>
          <w:b w:val="0"/>
          <w:i w:val="0"/>
          <w:sz w:val="22"/>
        </w:rPr>
        <w:t xml:space="preserve"> (Figura 1). Las reglas de etapa 1 excluyeron 3 235; de los 13 894 títulos cribados se excluyeron 13 434 y avanzaron 460 a lectura de resumen; de estos se excluyeron 227 y </w:t>
      </w:r>
      <w:r>
        <w:rPr>
          <w:rFonts w:ascii="Times New Roman" w:hAnsi="Times New Roman"/>
          <w:b/>
          <w:i w:val="0"/>
          <w:sz w:val="22"/>
        </w:rPr>
        <w:t>233 informes pasaron a texto completo</w:t>
      </w:r>
      <w:r>
        <w:rPr>
          <w:rFonts w:ascii="Times New Roman" w:hAnsi="Times New Roman"/>
          <w:b w:val="0"/>
          <w:i w:val="0"/>
          <w:sz w:val="22"/>
        </w:rPr>
        <w:t xml:space="preserve">. Al agrupar los informes por estudio, esos 233 corresponden a </w:t>
      </w:r>
      <w:r>
        <w:rPr>
          <w:rFonts w:ascii="Times New Roman" w:hAnsi="Times New Roman"/>
          <w:b/>
          <w:i w:val="0"/>
          <w:sz w:val="22"/>
        </w:rPr>
        <w:t>184 estudios evaluados para elegibilidad</w:t>
      </w:r>
      <w:r>
        <w:rPr>
          <w:rFonts w:ascii="Times New Roman" w:hAnsi="Times New Roman"/>
          <w:b w:val="0"/>
          <w:i w:val="0"/>
          <w:sz w:val="22"/>
        </w:rPr>
        <w:t xml:space="preserve">. Al leer sus textos completos durante la extracción se comprobó que </w:t>
      </w:r>
      <w:r>
        <w:rPr>
          <w:rFonts w:ascii="Times New Roman" w:hAnsi="Times New Roman"/>
          <w:b/>
          <w:i w:val="0"/>
          <w:sz w:val="22"/>
        </w:rPr>
        <w:t>29 de ellos salieron del corpus</w:t>
      </w:r>
      <w:r>
        <w:rPr>
          <w:rFonts w:ascii="Times New Roman" w:hAnsi="Times New Roman"/>
          <w:b w:val="0"/>
          <w:i w:val="0"/>
          <w:sz w:val="22"/>
        </w:rPr>
        <w:t xml:space="preserve">, y se excluyeron; el apartado siguiente los detalla. El cuerpo de evidencia queda en </w:t>
      </w:r>
      <w:r>
        <w:rPr>
          <w:rFonts w:ascii="Times New Roman" w:hAnsi="Times New Roman"/>
          <w:b/>
          <w:i w:val="0"/>
          <w:sz w:val="22"/>
        </w:rPr>
        <w:t>155 estudios</w:t>
      </w:r>
      <w:r>
        <w:rPr>
          <w:rFonts w:ascii="Times New Roman" w:hAnsi="Times New Roman"/>
          <w:b w:val="0"/>
          <w:i w:val="0"/>
          <w:sz w:val="22"/>
        </w:rPr>
        <w:t>, que agrupan 190 informes: 132 con un solo informe y 23 con varios, hasta un máximo de once informes de un mismo ensayo.</w:t>
      </w:r>
    </w:p>
    <w:p>
      <w:pPr>
        <w:spacing w:before="200" w:after="100"/>
      </w:pPr>
      <w:r>
        <w:rPr>
          <w:rFonts w:ascii="Times New Roman" w:hAnsi="Times New Roman"/>
          <w:b/>
          <w:i w:val="0"/>
          <w:sz w:val="22"/>
        </w:rPr>
        <w:t>3.1.1 Veintinueve estudios que el cribado admitió y que salieron después</w:t>
      </w:r>
    </w:p>
    <w:p>
      <w:pPr>
        <w:jc w:val="both"/>
      </w:pPr>
      <w:r>
        <w:rPr>
          <w:rFonts w:ascii="Times New Roman" w:hAnsi="Times New Roman"/>
          <w:b w:val="0"/>
          <w:i w:val="0"/>
          <w:sz w:val="22"/>
        </w:rPr>
        <w:t xml:space="preserve">Los 29 se excluyeron por ocho motivos, y ninguno es una discrepancia de criterio: son estudios que no cumplen lo que la sección 2.2 ya exigía. </w:t>
      </w:r>
      <w:r>
        <w:rPr>
          <w:rFonts w:ascii="Times New Roman" w:hAnsi="Times New Roman"/>
          <w:b/>
          <w:i w:val="0"/>
          <w:sz w:val="22"/>
        </w:rPr>
        <w:t>Veinticuatro</w:t>
      </w:r>
      <w:r>
        <w:rPr>
          <w:rFonts w:ascii="Times New Roman" w:hAnsi="Times New Roman"/>
          <w:b w:val="0"/>
          <w:i w:val="0"/>
          <w:sz w:val="22"/>
        </w:rPr>
        <w:t xml:space="preserve"> salieron de leer su artículo. </w:t>
      </w:r>
      <w:r>
        <w:rPr>
          <w:rFonts w:ascii="Times New Roman" w:hAnsi="Times New Roman"/>
          <w:b/>
          <w:i w:val="0"/>
          <w:sz w:val="22"/>
        </w:rPr>
        <w:t>Once</w:t>
      </w:r>
      <w:r>
        <w:rPr>
          <w:rFonts w:ascii="Times New Roman" w:hAnsi="Times New Roman"/>
          <w:b w:val="0"/>
          <w:i w:val="0"/>
          <w:sz w:val="22"/>
        </w:rPr>
        <w:t xml:space="preserve"> no tienen a </w:t>
      </w:r>
      <w:r>
        <w:rPr>
          <w:rFonts w:ascii="Times New Roman" w:hAnsi="Times New Roman"/>
          <w:b w:val="0"/>
          <w:i/>
          <w:sz w:val="22"/>
        </w:rPr>
        <w:t>P. aeruginosa</w:t>
      </w:r>
      <w:r>
        <w:rPr>
          <w:rFonts w:ascii="Times New Roman" w:hAnsi="Times New Roman"/>
          <w:b w:val="0"/>
          <w:i w:val="0"/>
          <w:sz w:val="22"/>
        </w:rPr>
        <w:t xml:space="preserve"> en ningún paciente —aparece en el espectro declarado del producto de fagos, en la introducción o en la lista de referencias—; uno de ellos no nombra microorganismo alguno. </w:t>
      </w:r>
      <w:r>
        <w:rPr>
          <w:rFonts w:ascii="Times New Roman" w:hAnsi="Times New Roman"/>
          <w:b/>
          <w:i w:val="0"/>
          <w:sz w:val="22"/>
        </w:rPr>
        <w:t>Cuatro</w:t>
      </w:r>
      <w:r>
        <w:rPr>
          <w:rFonts w:ascii="Times New Roman" w:hAnsi="Times New Roman"/>
          <w:b w:val="0"/>
          <w:i w:val="0"/>
          <w:sz w:val="22"/>
        </w:rPr>
        <w:t xml:space="preserve"> son protocolos de estudio: describen lo que se hará y no reportan desenlaces. </w:t>
      </w:r>
      <w:r>
        <w:rPr>
          <w:rFonts w:ascii="Times New Roman" w:hAnsi="Times New Roman"/>
          <w:b/>
          <w:i w:val="0"/>
          <w:sz w:val="22"/>
        </w:rPr>
        <w:t>Tres</w:t>
      </w:r>
      <w:r>
        <w:rPr>
          <w:rFonts w:ascii="Times New Roman" w:hAnsi="Times New Roman"/>
          <w:b w:val="0"/>
          <w:i w:val="0"/>
          <w:sz w:val="22"/>
        </w:rPr>
        <w:t xml:space="preserve"> no tienen pacientes: un modelo murino de neumonía asociada a ventilación, un modelo </w:t>
      </w:r>
      <w:r>
        <w:rPr>
          <w:rFonts w:ascii="Times New Roman" w:hAnsi="Times New Roman"/>
          <w:b w:val="0"/>
          <w:i/>
          <w:sz w:val="22"/>
        </w:rPr>
        <w:t>in vitro</w:t>
      </w:r>
      <w:r>
        <w:rPr>
          <w:rFonts w:ascii="Times New Roman" w:hAnsi="Times New Roman"/>
          <w:b w:val="0"/>
          <w:i w:val="0"/>
          <w:sz w:val="22"/>
        </w:rPr>
        <w:t xml:space="preserve"> de fibra hueca y un artículo de métodos sobre la preparación de fagos en el laboratorio. </w:t>
      </w:r>
      <w:r>
        <w:rPr>
          <w:rFonts w:ascii="Times New Roman" w:hAnsi="Times New Roman"/>
          <w:b/>
          <w:i w:val="0"/>
          <w:sz w:val="22"/>
        </w:rPr>
        <w:t>Dos</w:t>
      </w:r>
      <w:r>
        <w:rPr>
          <w:rFonts w:ascii="Times New Roman" w:hAnsi="Times New Roman"/>
          <w:b w:val="0"/>
          <w:i w:val="0"/>
          <w:sz w:val="22"/>
        </w:rPr>
        <w:t xml:space="preserve"> administran algo que no es un bacteriófago: una endolisina y un producto que dice inducir los fagos nativos del propio paciente. </w:t>
      </w:r>
      <w:r>
        <w:rPr>
          <w:rFonts w:ascii="Times New Roman" w:hAnsi="Times New Roman"/>
          <w:b/>
          <w:i w:val="0"/>
          <w:sz w:val="22"/>
        </w:rPr>
        <w:t>Dos</w:t>
      </w:r>
      <w:r>
        <w:rPr>
          <w:rFonts w:ascii="Times New Roman" w:hAnsi="Times New Roman"/>
          <w:b w:val="0"/>
          <w:i w:val="0"/>
          <w:sz w:val="22"/>
        </w:rPr>
        <w:t xml:space="preserve"> no evalúan fagoterapia en pacientes: en uno el fago solo se menciona como opción no disponible y nunca se administró, y el otro es un artículo de cirugía reconstructiva donde la fagoterapia aparece una sola vez, en una celda de tabla. </w:t>
      </w:r>
      <w:r>
        <w:rPr>
          <w:rFonts w:ascii="Times New Roman" w:hAnsi="Times New Roman"/>
          <w:b/>
          <w:i w:val="0"/>
          <w:sz w:val="22"/>
        </w:rPr>
        <w:t>Dos</w:t>
      </w:r>
      <w:r>
        <w:rPr>
          <w:rFonts w:ascii="Times New Roman" w:hAnsi="Times New Roman"/>
          <w:b w:val="0"/>
          <w:i w:val="0"/>
          <w:sz w:val="22"/>
        </w:rPr>
        <w:t xml:space="preserve"> no aportan datos primarios propios: una pieza de opinión con revisión narrativa, y un editorial de dos páginas firmado por un solo autor, que el repositorio que lo indexa clasifica literalmente como «Editorial» y «no citable».</w:t>
      </w:r>
    </w:p>
    <w:p>
      <w:pPr>
        <w:jc w:val="both"/>
      </w:pPr>
      <w:r>
        <w:rPr>
          <w:rFonts w:ascii="Times New Roman" w:hAnsi="Times New Roman"/>
          <w:b w:val="0"/>
          <w:i w:val="0"/>
          <w:sz w:val="22"/>
        </w:rPr>
        <w:t xml:space="preserve">Los </w:t>
      </w:r>
      <w:r>
        <w:rPr>
          <w:rFonts w:ascii="Times New Roman" w:hAnsi="Times New Roman"/>
          <w:b/>
          <w:i w:val="0"/>
          <w:sz w:val="22"/>
        </w:rPr>
        <w:t>cuatro restantes</w:t>
      </w:r>
      <w:r>
        <w:rPr>
          <w:rFonts w:ascii="Times New Roman" w:hAnsi="Times New Roman"/>
          <w:b w:val="0"/>
          <w:i w:val="0"/>
          <w:sz w:val="22"/>
        </w:rPr>
        <w:t xml:space="preserve"> salieron por </w:t>
      </w:r>
      <w:r>
        <w:rPr>
          <w:rFonts w:ascii="Times New Roman" w:hAnsi="Times New Roman"/>
          <w:b/>
          <w:i w:val="0"/>
          <w:sz w:val="22"/>
        </w:rPr>
        <w:t>idioma</w:t>
      </w:r>
      <w:r>
        <w:rPr>
          <w:rFonts w:ascii="Times New Roman" w:hAnsi="Times New Roman"/>
          <w:b w:val="0"/>
          <w:i w:val="0"/>
          <w:sz w:val="22"/>
        </w:rP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rFonts w:ascii="Times New Roman" w:hAnsi="Times New Roman"/>
          <w:b/>
          <w:i w:val="0"/>
          <w:sz w:val="22"/>
        </w:rPr>
        <w:t>sin traducción automática</w:t>
      </w:r>
      <w:r>
        <w:rPr>
          <w:rFonts w:ascii="Times New Roman" w:hAnsi="Times New Roman"/>
          <w:b w:val="0"/>
          <w:i w:val="0"/>
          <w:sz w:val="22"/>
        </w:rP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rFonts w:ascii="Times New Roman" w:hAnsi="Times New Roman"/>
          <w:b w:val="0"/>
          <w:i/>
          <w:sz w:val="22"/>
        </w:rPr>
        <w:t>Staphylococcus</w:t>
      </w:r>
      <w:r>
        <w:rPr>
          <w:rFonts w:ascii="Times New Roman" w:hAnsi="Times New Roman"/>
          <w:b w:val="0"/>
          <w:i w:val="0"/>
          <w:sz w:val="22"/>
        </w:rPr>
        <w:t xml:space="preserve"> y </w:t>
      </w:r>
      <w:r>
        <w:rPr>
          <w:rFonts w:ascii="Times New Roman" w:hAnsi="Times New Roman"/>
          <w:b w:val="0"/>
          <w:i/>
          <w:sz w:val="22"/>
        </w:rPr>
        <w:t>Streptococcus</w:t>
      </w:r>
      <w:r>
        <w:rPr>
          <w:rFonts w:ascii="Times New Roman" w:hAnsi="Times New Roman"/>
          <w:b w:val="0"/>
          <w:i w:val="0"/>
          <w:sz w:val="22"/>
        </w:rPr>
        <w:t xml:space="preserve">, y </w:t>
      </w:r>
      <w:r>
        <w:rPr>
          <w:rFonts w:ascii="Times New Roman" w:hAnsi="Times New Roman"/>
          <w:b w:val="0"/>
          <w:i/>
          <w:sz w:val="22"/>
        </w:rPr>
        <w:t>P. aeruginosa</w:t>
      </w:r>
      <w:r>
        <w:rPr>
          <w:rFonts w:ascii="Times New Roman" w:hAnsi="Times New Roman"/>
          <w:b w:val="0"/>
          <w:i w:val="0"/>
          <w:sz w:val="22"/>
        </w:rPr>
        <w:t xml:space="preserve"> solo figura en la composición del piobacteriófago administrado.</w:t>
      </w:r>
    </w:p>
    <w:p>
      <w:pPr>
        <w:jc w:val="both"/>
      </w:pPr>
      <w:r>
        <w:rPr>
          <w:rFonts w:ascii="Times New Roman" w:hAnsi="Times New Roman"/>
          <w:b w:val="0"/>
          <w:i w:val="0"/>
          <w:sz w:val="22"/>
        </w:rPr>
        <w:t xml:space="preserve">Ese caso destapó un defecto del propio procedimiento de verificación, y conviene declararlo. El detector de idioma analiza el título y el </w:t>
      </w:r>
      <w:r>
        <w:rPr>
          <w:rFonts w:ascii="Times New Roman" w:hAnsi="Times New Roman"/>
          <w:b/>
          <w:i w:val="0"/>
          <w:sz w:val="22"/>
        </w:rPr>
        <w:t>resumen indexado</w:t>
      </w:r>
      <w:r>
        <w:rPr>
          <w:rFonts w:ascii="Times New Roman" w:hAnsi="Times New Roman"/>
          <w:b w:val="0"/>
          <w:i w:val="0"/>
          <w:sz w:val="22"/>
        </w:rPr>
        <w:t xml:space="preserve">, pero su clase de evidencia más fuerte se llamaba «texto probado». Para un estudio sin texto completo recuperado eso afirma más de lo comprobado, y son </w:t>
      </w:r>
      <w:r>
        <w:rPr>
          <w:rFonts w:ascii="Times New Roman" w:hAnsi="Times New Roman"/>
          <w:b/>
          <w:i w:val="0"/>
          <w:sz w:val="22"/>
        </w:rPr>
        <w:t>29 de los 95 estudios extraíbles</w:t>
      </w:r>
      <w:r>
        <w:rPr>
          <w:rFonts w:ascii="Times New Roman" w:hAnsi="Times New Roman"/>
          <w:b w:val="0"/>
          <w:i w:val="0"/>
          <w:sz w:val="22"/>
        </w:rP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pPr>
        <w:jc w:val="both"/>
      </w:pPr>
      <w:r>
        <w:rPr>
          <w:rFonts w:ascii="Times New Roman" w:hAnsi="Times New Roman"/>
          <w:b w:val="0"/>
          <w:i w:val="0"/>
          <w:sz w:val="22"/>
        </w:rPr>
        <w:t xml:space="preserve">La causa es común a casi todos y conviene decirla sin rodeos: el cribado de título y resumen lo emitió un modelo de lenguaje como revisor único (sección 2.4). Un resumen de protocolo, uno de modelo murino y uno que enumera </w:t>
      </w:r>
      <w:r>
        <w:rPr>
          <w:rFonts w:ascii="Times New Roman" w:hAnsi="Times New Roman"/>
          <w:b w:val="0"/>
          <w:i/>
          <w:sz w:val="22"/>
        </w:rPr>
        <w:t>P. aeruginosa</w:t>
      </w:r>
      <w:r>
        <w:rPr>
          <w:rFonts w:ascii="Times New Roman" w:hAnsi="Times New Roman"/>
          <w:b w:val="0"/>
          <w:i w:val="0"/>
          <w:sz w:val="22"/>
        </w:rPr>
        <w:t xml:space="preserve"> en el espectro de un fago polivalente </w:t>
      </w:r>
      <w:r>
        <w:rPr>
          <w:rFonts w:ascii="Times New Roman" w:hAnsi="Times New Roman"/>
          <w:b/>
          <w:i w:val="0"/>
          <w:sz w:val="22"/>
        </w:rPr>
        <w:t>se parecen mucho</w:t>
      </w:r>
      <w:r>
        <w:rPr>
          <w:rFonts w:ascii="Times New Roman" w:hAnsi="Times New Roman"/>
          <w:b w:val="0"/>
          <w:i w:val="0"/>
          <w:sz w:val="22"/>
        </w:rPr>
        <w:t xml:space="preserve"> a un resumen elegible; distinguirlos exige abrir el artículo. La sección 2.4 declara que los registros que el modelo excluyó no los releyó ningún humano. Estos 22 son la otra cara de esa limitación, y son el </w:t>
      </w:r>
      <w:r>
        <w:rPr>
          <w:rFonts w:ascii="Times New Roman" w:hAnsi="Times New Roman"/>
          <w:b/>
          <w:i w:val="0"/>
          <w:sz w:val="22"/>
        </w:rPr>
        <w:t>23,7 %</w:t>
      </w:r>
      <w:r>
        <w:rPr>
          <w:rFonts w:ascii="Times New Roman" w:hAnsi="Times New Roman"/>
          <w:b w:val="0"/>
          <w:i w:val="0"/>
          <w:sz w:val="22"/>
        </w:rPr>
        <w:t xml:space="preserve"> de los 93 estudios cuyo texto completo se pudo leer. Es un suelo, no un total: los 31 estudios sin texto completo no se han podido comprobar contra nada.</w:t>
      </w:r>
    </w:p>
    <w:p>
      <w:pPr>
        <w:jc w:val="both"/>
      </w:pPr>
      <w:r>
        <w:rPr>
          <w:rFonts w:ascii="Times New Roman" w:hAnsi="Times New Roman"/>
          <w:b w:val="0"/>
          <w:i w:val="0"/>
          <w:sz w:val="22"/>
        </w:rPr>
        <w:t xml:space="preserve">De los 155 estudios, </w:t>
      </w:r>
      <w:r>
        <w:rPr>
          <w:rFonts w:ascii="Times New Roman" w:hAnsi="Times New Roman"/>
          <w:b/>
          <w:i w:val="0"/>
          <w:sz w:val="22"/>
        </w:rPr>
        <w:t>95 tienen publicación recuperable</w:t>
      </w:r>
      <w:r>
        <w:rPr>
          <w:rFonts w:ascii="Times New Roman" w:hAnsi="Times New Roman"/>
          <w:b w:val="0"/>
          <w:i w:val="0"/>
          <w:sz w:val="22"/>
        </w:rPr>
        <w:t xml:space="preserve">: 92 artículos y 3 que solo existen como resumen de congreso. Los </w:t>
      </w:r>
      <w:r>
        <w:rPr>
          <w:rFonts w:ascii="Times New Roman" w:hAnsi="Times New Roman"/>
          <w:b/>
          <w:i w:val="0"/>
          <w:sz w:val="22"/>
        </w:rPr>
        <w:t>60 restantes son únicamente fichas de registro de ensayo</w:t>
      </w:r>
      <w:r>
        <w:rPr>
          <w:rFonts w:ascii="Times New Roman" w:hAnsi="Times New Roman"/>
          <w:b w:val="0"/>
          <w:i w:val="0"/>
          <w:sz w:val="22"/>
        </w:rPr>
        <w:t>, sin publicación asociada localizable. Esa cifra basta por sí sola para describir un campo en el que más de uno de cada tres estudios registrados no ha publicado resultados.</w:t>
      </w:r>
    </w:p>
    <w:p>
      <w:pPr>
        <w:jc w:val="both"/>
      </w:pPr>
      <w:r>
        <w:rPr>
          <w:rFonts w:ascii="Times New Roman" w:hAnsi="Times New Roman"/>
          <w:b w:val="0"/>
          <w:i w:val="0"/>
          <w:sz w:val="22"/>
        </w:rP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rFonts w:ascii="Times New Roman" w:hAnsi="Times New Roman"/>
          <w:b/>
          <w:i w:val="0"/>
          <w:sz w:val="22"/>
        </w:rPr>
        <w:t>idioma no admitido (35)</w:t>
      </w:r>
      <w:r>
        <w:rPr>
          <w:rFonts w:ascii="Times New Roman" w:hAnsi="Times New Roman"/>
          <w:b w:val="0"/>
          <w:i w:val="0"/>
          <w:sz w:val="22"/>
        </w:rPr>
        <w:t>, laboratorio (18) y síntesis secundaria (5).</w:t>
      </w:r>
    </w:p>
    <w:p>
      <w:pPr>
        <w:spacing w:before="200" w:after="100"/>
      </w:pPr>
      <w:r>
        <w:rPr>
          <w:rFonts w:ascii="Times New Roman" w:hAnsi="Times New Roman"/>
          <w:b/>
          <w:i w:val="0"/>
          <w:sz w:val="22"/>
        </w:rPr>
        <w:t>3.2 Recuperación del texto completo y su sesgo</w:t>
      </w:r>
    </w:p>
    <w:p>
      <w:pPr>
        <w:jc w:val="both"/>
      </w:pPr>
      <w:r>
        <w:rPr>
          <w:rFonts w:ascii="Times New Roman" w:hAnsi="Times New Roman"/>
          <w:b w:val="0"/>
          <w:i w:val="0"/>
          <w:sz w:val="22"/>
        </w:rPr>
        <w:t xml:space="preserve">Se obtuvo el texto completo de </w:t>
      </w:r>
      <w:r>
        <w:rPr>
          <w:rFonts w:ascii="Times New Roman" w:hAnsi="Times New Roman"/>
          <w:b/>
          <w:i w:val="0"/>
          <w:sz w:val="22"/>
        </w:rPr>
        <w:t>71 de los 95 estudios recuperables (74,7 %)</w:t>
      </w:r>
      <w:r>
        <w:rPr>
          <w:rFonts w:ascii="Times New Roman" w:hAnsi="Times New Roman"/>
          <w:b w:val="0"/>
          <w:i w:val="0"/>
          <w:sz w:val="22"/>
        </w:rPr>
        <w:t xml:space="preserve"> por vías de acceso abierto legítimas. Los 24 restantes siguen sin obtenerse. Su disponibilidad se recomprobó el 2 de septiembre de 2026 contra tres índices independientes —Europe PMC, OpenAlex y Semantic Scholar—, y </w:t>
      </w:r>
      <w:r>
        <w:rPr>
          <w:rFonts w:ascii="Times New Roman" w:hAnsi="Times New Roman"/>
          <w:b/>
          <w:i w:val="0"/>
          <w:sz w:val="22"/>
        </w:rPr>
        <w:t>ninguno de los 24 tiene hoy una copia de acceso abierto</w:t>
      </w:r>
      <w:r>
        <w:rPr>
          <w:rFonts w:ascii="Times New Roman" w:hAnsi="Times New Roman"/>
          <w:b w:val="0"/>
          <w:i w:val="0"/>
          <w:sz w:val="22"/>
        </w:rPr>
        <w:t>. No se solicitaron por préstamo interbibliotecario ni a los autores: el hueco documental que esta revisión declara no está mitigado por ninguna vía adicional, y esa es la razón por la que se reporta como límite y no como pendiente.</w:t>
      </w:r>
    </w:p>
    <w:p>
      <w:pPr>
        <w:jc w:val="both"/>
      </w:pPr>
      <w:r>
        <w:rPr>
          <w:rFonts w:ascii="Times New Roman" w:hAnsi="Times New Roman"/>
          <w:b w:val="0"/>
          <w:i w:val="0"/>
          <w:sz w:val="22"/>
        </w:rPr>
        <w:t xml:space="preserve">La fracción no obtenida </w:t>
      </w:r>
      <w:r>
        <w:rPr>
          <w:rFonts w:ascii="Times New Roman" w:hAnsi="Times New Roman"/>
          <w:b/>
          <w:i w:val="0"/>
          <w:sz w:val="22"/>
        </w:rPr>
        <w:t>no es una muestra aleatoria del conjunto</w:t>
      </w:r>
      <w:r>
        <w:rPr>
          <w:rFonts w:ascii="Times New Roman" w:hAnsi="Times New Roman"/>
          <w:b w:val="0"/>
          <w:i w:val="0"/>
          <w:sz w:val="22"/>
        </w:rPr>
        <w:t xml:space="preserve"> (Tabla 3). Contiene 6 de los 11 estudios comparativos, el </w:t>
      </w:r>
      <w:r>
        <w:rPr>
          <w:rFonts w:ascii="Times New Roman" w:hAnsi="Times New Roman"/>
          <w:b/>
          <w:i w:val="0"/>
          <w:sz w:val="22"/>
        </w:rPr>
        <w:t>54,5 %</w:t>
      </w:r>
      <w:r>
        <w:rPr>
          <w:rFonts w:ascii="Times New Roman" w:hAnsi="Times New Roman"/>
          <w:b w:val="0"/>
          <w:i w:val="0"/>
          <w:sz w:val="22"/>
        </w:rPr>
        <w:t>, y, aunque declara menos pacientes en total, concentra los diseños que sostienen una comparación. De los siete ensayos aleatorizados del corpus se leyeron tres a texto completo —PhagoBurn (17), BX004-A (18) y un ensayo de 2026 en unidad de cuidados intensivos—, y cuatro siguen sin leerse, entre ellos el de TP-102 (19). La fracción que falta contiene, por tanto, la mayoría de los ensayos aleatorizados identificados.</w:t>
      </w:r>
    </w:p>
    <w:p>
      <w:pPr>
        <w:jc w:val="both"/>
      </w:pPr>
      <w:r>
        <w:rPr>
          <w:rFonts w:ascii="Times New Roman" w:hAnsi="Times New Roman"/>
          <w:b w:val="0"/>
          <w:i w:val="0"/>
          <w:sz w:val="22"/>
        </w:rP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spacing w:before="200" w:after="100"/>
      </w:pPr>
      <w:r>
        <w:rPr>
          <w:rFonts w:ascii="Times New Roman" w:hAnsi="Times New Roman"/>
          <w:b/>
          <w:i w:val="0"/>
          <w:sz w:val="22"/>
        </w:rPr>
        <w:t>3.3 Características del cuerpo de evidencia</w:t>
      </w:r>
    </w:p>
    <w:p>
      <w:pPr>
        <w:jc w:val="both"/>
      </w:pPr>
      <w:r>
        <w:rPr>
          <w:rFonts w:ascii="Times New Roman" w:hAnsi="Times New Roman"/>
          <w:b w:val="0"/>
          <w:i w:val="0"/>
          <w:sz w:val="22"/>
        </w:rPr>
        <w:t xml:space="preserve">Los 95 estudios recuperables se publicaron entre </w:t>
      </w:r>
      <w:r>
        <w:rPr>
          <w:rFonts w:ascii="Times New Roman" w:hAnsi="Times New Roman"/>
          <w:b/>
          <w:i w:val="0"/>
          <w:sz w:val="22"/>
        </w:rPr>
        <w:t>2016 y 2026</w:t>
      </w:r>
      <w:r>
        <w:rPr>
          <w:rFonts w:ascii="Times New Roman" w:hAnsi="Times New Roman"/>
          <w:b w:val="0"/>
          <w:i w:val="0"/>
          <w:sz w:val="22"/>
        </w:rPr>
        <w:t xml:space="preserve">, y el </w:t>
      </w:r>
      <w:r>
        <w:rPr>
          <w:rFonts w:ascii="Times New Roman" w:hAnsi="Times New Roman"/>
          <w:b/>
          <w:i w:val="0"/>
          <w:sz w:val="22"/>
        </w:rPr>
        <w:t>80,0 %</w:t>
      </w:r>
      <w:r>
        <w:rPr>
          <w:rFonts w:ascii="Times New Roman" w:hAnsi="Times New Roman"/>
          <w:b w:val="0"/>
          <w:i w:val="0"/>
          <w:sz w:val="22"/>
        </w:rPr>
        <w:t xml:space="preserve"> desde 2020. Es un cuerpo de evidencia joven y en expansión rápida (Tabla 1).</w:t>
      </w:r>
    </w:p>
    <w:p>
      <w:pPr>
        <w:jc w:val="both"/>
      </w:pPr>
      <w:r>
        <w:rPr>
          <w:rFonts w:ascii="Times New Roman" w:hAnsi="Times New Roman"/>
          <w:b w:val="0"/>
          <w:i w:val="0"/>
          <w:sz w:val="22"/>
        </w:rPr>
        <w:t xml:space="preserve">Su composición por diseño es la que cabe esperar de una literatura de rescate, no la que una síntesis de eficacia necesita: </w:t>
      </w:r>
      <w:r>
        <w:rPr>
          <w:rFonts w:ascii="Times New Roman" w:hAnsi="Times New Roman"/>
          <w:b/>
          <w:i w:val="0"/>
          <w:sz w:val="22"/>
        </w:rPr>
        <w:t>42 reportes de caso único (44,2 %)</w:t>
      </w:r>
      <w:r>
        <w:rPr>
          <w:rFonts w:ascii="Times New Roman" w:hAnsi="Times New Roman"/>
          <w:b w:val="0"/>
          <w:i w:val="0"/>
          <w:sz w:val="22"/>
        </w:rPr>
        <w:t xml:space="preserve">, 18 series de casos, 13 cohortes prospectivas, 7 ensayos aleatorizados, 4 ensayos no aleatorizados y 3 cohortes retrospectivas. Otros 8 no declaran su diseño de forma reconocible en el resumen. Los comparativos suman </w:t>
      </w:r>
      <w:r>
        <w:rPr>
          <w:rFonts w:ascii="Times New Roman" w:hAnsi="Times New Roman"/>
          <w:b/>
          <w:i w:val="0"/>
          <w:sz w:val="22"/>
        </w:rPr>
        <w:t>11 estudios, el 11,6 %</w:t>
      </w:r>
      <w:r>
        <w:rPr>
          <w:rFonts w:ascii="Times New Roman" w:hAnsi="Times New Roman"/>
          <w:b w:val="0"/>
          <w:i w:val="0"/>
          <w:sz w:val="22"/>
        </w:rPr>
        <w:t xml:space="preserve"> del total, y son los únicos capaces de sostener una afirmación de eficacia relativa.</w:t>
      </w:r>
    </w:p>
    <w:p>
      <w:pPr>
        <w:jc w:val="both"/>
      </w:pPr>
      <w:r>
        <w:rPr>
          <w:rFonts w:ascii="Times New Roman" w:hAnsi="Times New Roman"/>
          <w:b w:val="0"/>
          <w:i w:val="0"/>
          <w:sz w:val="22"/>
        </w:rP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spacing w:before="200" w:after="100"/>
      </w:pPr>
      <w:r>
        <w:rPr>
          <w:rFonts w:ascii="Times New Roman" w:hAnsi="Times New Roman"/>
          <w:b/>
          <w:i w:val="0"/>
          <w:sz w:val="22"/>
        </w:rPr>
        <w:t>3.4 Lo que el cuerpo de evidencia no declara</w:t>
      </w:r>
    </w:p>
    <w:p>
      <w:pPr>
        <w:jc w:val="both"/>
      </w:pPr>
      <w:r>
        <w:rPr>
          <w:rFonts w:ascii="Times New Roman" w:hAnsi="Times New Roman"/>
          <w:b w:val="0"/>
          <w:i w:val="0"/>
          <w:sz w:val="22"/>
        </w:rPr>
        <w:t>La completitud de reporte, medida sobre lo que los resúmenes hacen explícito, es baja precisamente en las variables de las que depende cualquier estratificación (Tabla 2):</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i w:val="0"/>
          <w:sz w:val="22"/>
        </w:rPr>
        <w:t>clase de resistencia</w:t>
      </w:r>
      <w:r>
        <w:rPr>
          <w:rFonts w:ascii="Times New Roman" w:hAnsi="Times New Roman"/>
          <w:b w:val="0"/>
          <w:i w:val="0"/>
          <w:sz w:val="22"/>
        </w:rPr>
        <w:t xml:space="preserve"> (MDR, XDR o PDR) no puede asignarse en el </w:t>
      </w:r>
      <w:r>
        <w:rPr>
          <w:rFonts w:ascii="Times New Roman" w:hAnsi="Times New Roman"/>
          <w:b/>
          <w:i w:val="0"/>
          <w:sz w:val="22"/>
        </w:rPr>
        <w:t>75,8 %</w:t>
      </w:r>
      <w:r>
        <w:rPr>
          <w:rFonts w:ascii="Times New Roman" w:hAnsi="Times New Roman"/>
          <w:b w:val="0"/>
          <w:i w:val="0"/>
          <w:sz w:val="22"/>
        </w:rPr>
        <w:t xml:space="preserve"> de los estudios: el 62,1 % no la menciona en absoluto y un 13,7 % adicional la menciona en términos que no permiten clasificarla. Para estratificar por resistencia, que es lo que hacen las síntesis publicadas, ambos casos son igual de inservibles.</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i w:val="0"/>
          <w:sz w:val="22"/>
        </w:rPr>
        <w:t>vía de administración</w:t>
      </w:r>
      <w:r>
        <w:rPr>
          <w:rFonts w:ascii="Times New Roman" w:hAnsi="Times New Roman"/>
          <w:b w:val="0"/>
          <w:i w:val="0"/>
          <w:sz w:val="22"/>
        </w:rPr>
        <w:t xml:space="preserve"> no consta en el </w:t>
      </w:r>
      <w:r>
        <w:rPr>
          <w:rFonts w:ascii="Times New Roman" w:hAnsi="Times New Roman"/>
          <w:b/>
          <w:i w:val="0"/>
          <w:sz w:val="22"/>
        </w:rPr>
        <w:t>52,6 %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w:t>
      </w:r>
      <w:r>
        <w:rPr>
          <w:rFonts w:ascii="Times New Roman" w:hAnsi="Times New Roman"/>
          <w:b/>
          <w:i w:val="0"/>
          <w:sz w:val="22"/>
        </w:rPr>
        <w:t>ámbito de patógeno</w:t>
      </w:r>
      <w:r>
        <w:rPr>
          <w:rFonts w:ascii="Times New Roman" w:hAnsi="Times New Roman"/>
          <w:b w:val="0"/>
          <w:i w:val="0"/>
          <w:sz w:val="22"/>
        </w:rPr>
        <w:t xml:space="preserve">, esto es, si el estudio trata solo </w:t>
      </w:r>
      <w:r>
        <w:rPr>
          <w:rFonts w:ascii="Times New Roman" w:hAnsi="Times New Roman"/>
          <w:b w:val="0"/>
          <w:i/>
          <w:sz w:val="22"/>
        </w:rPr>
        <w:t>P. aeruginosa</w:t>
      </w:r>
      <w:r>
        <w:rPr>
          <w:rFonts w:ascii="Times New Roman" w:hAnsi="Times New Roman"/>
          <w:b w:val="0"/>
          <w:i w:val="0"/>
          <w:sz w:val="22"/>
        </w:rPr>
        <w:t xml:space="preserve"> o es mixto con subgrupo separable, no consta en el </w:t>
      </w:r>
      <w:r>
        <w:rPr>
          <w:rFonts w:ascii="Times New Roman" w:hAnsi="Times New Roman"/>
          <w:b/>
          <w:i w:val="0"/>
          <w:sz w:val="22"/>
        </w:rPr>
        <w:t>38,9 %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cumplimiento del criterio </w:t>
      </w:r>
      <w:r>
        <w:rPr>
          <w:rFonts w:ascii="Times New Roman" w:hAnsi="Times New Roman"/>
          <w:b/>
          <w:i w:val="0"/>
          <w:sz w:val="22"/>
        </w:rPr>
        <w:t>DTR</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no consta en el </w:t>
      </w:r>
      <w:r>
        <w:rPr>
          <w:rFonts w:ascii="Times New Roman" w:hAnsi="Times New Roman"/>
          <w:b/>
          <w:i w:val="0"/>
          <w:sz w:val="22"/>
        </w:rPr>
        <w:t>97,9 %</w:t>
      </w:r>
      <w:r>
        <w:rPr>
          <w:rFonts w:ascii="Times New Roman" w:hAnsi="Times New Roman"/>
          <w:b w:val="0"/>
          <w:i w:val="0"/>
          <w:sz w:val="22"/>
        </w:rPr>
        <w:t>.</w:t>
      </w:r>
    </w:p>
    <w:p>
      <w:pPr>
        <w:jc w:val="both"/>
      </w:pPr>
      <w:r>
        <w:rPr>
          <w:rFonts w:ascii="Times New Roman" w:hAnsi="Times New Roman"/>
          <w:b w:val="0"/>
          <w:i w:val="0"/>
          <w:sz w:val="22"/>
        </w:rP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spacing w:before="200" w:after="100"/>
      </w:pPr>
      <w:r>
        <w:rPr>
          <w:rFonts w:ascii="Times New Roman" w:hAnsi="Times New Roman"/>
          <w:b/>
          <w:i w:val="0"/>
          <w:sz w:val="22"/>
        </w:rPr>
        <w:t>3.5 Lo que el corpus reporta en cada desenlace</w:t>
      </w:r>
    </w:p>
    <w:p>
      <w:pPr>
        <w:jc w:val="both"/>
      </w:pPr>
      <w:r>
        <w:rPr>
          <w:rFonts w:ascii="Times New Roman" w:hAnsi="Times New Roman"/>
          <w:b w:val="0"/>
          <w:i w:val="0"/>
          <w:sz w:val="22"/>
        </w:rPr>
        <w:t>La extracción por duplicado, ya adjudicada, permite medir por primera vez qué reporta este cuerpo de evidencia en los cinco desenlaces declarados en los criterios de elegibilidad. La tabla 5 lo resume sobre los 103 brazos del corpus vigente.</w:t>
      </w:r>
    </w:p>
    <w:p>
      <w:pPr>
        <w:jc w:val="both"/>
      </w:pPr>
      <w:r>
        <w:rPr>
          <w:rFonts w:ascii="Times New Roman" w:hAnsi="Times New Roman"/>
          <w:b w:val="0"/>
          <w:i w:val="0"/>
          <w:sz w:val="22"/>
        </w:rPr>
        <w:t>La completitud es desigual y, en el mejor de los casos, parcial. Los eventos adversos son lo que más se reporta con denominador (77,7 % de los brazos) y la emergencia de resistencia al fago lo que menos (27,2 %), pese a ser el desenlace que decide si la intervención conserva su utilidad. Esos porcentajes se calculan sobre los 103 brazos, e incluyen por tanto 24 de estudios cuyo texto completo no se ha recuperado: de un artículo que no se ha podido leer no cabe afirmar que calle. Sobre los 79 brazos legibles las cifras suben —del 77,7 % al 88,6 % en eventos adversos, del 27,2 % al 35,4 % en resistencia—, y la tabla 5 da las dos columnas para que el lector distinga el silencio de la literatura del hueco documental de esta revisión. El éxito clínico, que es el que las síntesis publicadas agregan, consta con numerador y denominador en el 68,9 % de los brazos. Dos brazos reportan un numerador mayor que su denominador —trece éxitos clínicos sobre un paciente, y cinco eventos adversos sobre cuatro—; se señalan como error de reporte y no se leen como proporciones.</w:t>
      </w:r>
    </w:p>
    <w:p>
      <w:pPr>
        <w:jc w:val="both"/>
      </w:pPr>
      <w:r>
        <w:rPr>
          <w:rFonts w:ascii="Times New Roman" w:hAnsi="Times New Roman"/>
          <w:b w:val="0"/>
          <w:i w:val="0"/>
          <w:sz w:val="22"/>
        </w:rPr>
        <w:t xml:space="preserve">Ese 68,9 % es, sin embargo, engañoso si se lee como disponibilidad para agregar. </w:t>
      </w:r>
      <w:r>
        <w:rPr>
          <w:rFonts w:ascii="Times New Roman" w:hAnsi="Times New Roman"/>
          <w:b/>
          <w:i w:val="0"/>
          <w:sz w:val="22"/>
        </w:rPr>
        <w:t>En 69 de los 103 brazos (67,0 %) no consta una definición operativa de éxito clínico</w:t>
      </w:r>
      <w:r>
        <w:rPr>
          <w:rFonts w:ascii="Times New Roman" w:hAnsi="Times New Roman"/>
          <w:b w:val="0"/>
          <w:i w:val="0"/>
          <w:sz w:val="22"/>
        </w:rPr>
        <w:t>; sobre los 79 brazos legibles, en 45 (57,0 %).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pPr>
        <w:jc w:val="both"/>
      </w:pPr>
      <w:r>
        <w:rPr>
          <w:rFonts w:ascii="Times New Roman" w:hAnsi="Times New Roman"/>
          <w:b w:val="0"/>
          <w:i w:val="0"/>
          <w:sz w:val="22"/>
        </w:rPr>
        <w:t xml:space="preserve">El diseño tampoco consta siempre: en 19 de los 103 brazos no puede clasificarse —12 en que los dos revisores acordaron «NA» y 7 que siguen abiertos—, de modo que los recuentos por diseño son suelos sobre los 84 restantes. De esos 84, </w:t>
      </w:r>
      <w:r>
        <w:rPr>
          <w:rFonts w:ascii="Times New Roman" w:hAnsi="Times New Roman"/>
          <w:b/>
          <w:i w:val="0"/>
          <w:sz w:val="22"/>
        </w:rPr>
        <w:t>7 brazos son ensayos</w:t>
      </w:r>
      <w:r>
        <w:rPr>
          <w:rFonts w:ascii="Times New Roman" w:hAnsi="Times New Roman"/>
          <w:b w:val="0"/>
          <w:i w:val="0"/>
          <w:sz w:val="22"/>
        </w:rPr>
        <w:t xml:space="preserve"> (aleatorizados o no) y </w:t>
      </w:r>
      <w:r>
        <w:rPr>
          <w:rFonts w:ascii="Times New Roman" w:hAnsi="Times New Roman"/>
          <w:b/>
          <w:i w:val="0"/>
          <w:sz w:val="22"/>
        </w:rPr>
        <w:t>9 son cohortes</w:t>
      </w:r>
      <w:r>
        <w:rPr>
          <w:rFonts w:ascii="Times New Roman" w:hAnsi="Times New Roman"/>
          <w:b w:val="0"/>
          <w:i w:val="0"/>
          <w:sz w:val="22"/>
        </w:rPr>
        <w:t>. La sección 3.3 y la tabla 1 llaman «comparativos» solo a los ensayos, y por eso allí la cifra es 11 estudios: cuando en esta sección se dice «comparativo» se incluyen también las cohortes, y son 16 brazos. No son el mismo conjunto.</w:t>
      </w:r>
    </w:p>
    <w:p>
      <w:pPr>
        <w:jc w:val="both"/>
      </w:pPr>
      <w:r>
        <w:rPr>
          <w:rFonts w:ascii="Times New Roman" w:hAnsi="Times New Roman"/>
          <w:b w:val="0"/>
          <w:i w:val="0"/>
          <w:sz w:val="22"/>
        </w:rPr>
        <w:t xml:space="preserve">Cruzar los requisitos que una proporción agrupada exigiría vacía el corpus paso a paso. Cuatro de esos requisitos son aritméticos —diseño comparativo, numerador, denominador y definición operativa— y dejan </w:t>
      </w:r>
      <w:r>
        <w:rPr>
          <w:rFonts w:ascii="Times New Roman" w:hAnsi="Times New Roman"/>
          <w:b/>
          <w:i w:val="0"/>
          <w:sz w:val="22"/>
        </w:rPr>
        <w:t>2 brazos de los 103</w:t>
      </w:r>
      <w:r>
        <w:rPr>
          <w:rFonts w:ascii="Times New Roman" w:hAnsi="Times New Roman"/>
          <w:b w:val="0"/>
          <w:i w:val="0"/>
          <w:sz w:val="22"/>
        </w:rPr>
        <w:t>. Los dos siguientes son los criterios de elegibilidad que esta misma revisión declara en la sección 2.2, y ninguno de esos 3 los sobrevive.</w:t>
      </w:r>
    </w:p>
    <w:p>
      <w:pPr>
        <w:jc w:val="both"/>
      </w:pPr>
      <w:r>
        <w:rPr>
          <w:rFonts w:ascii="Times New Roman" w:hAnsi="Times New Roman"/>
          <w:b w:val="0"/>
          <w:i w:val="0"/>
          <w:sz w:val="22"/>
        </w:rPr>
        <w:t xml:space="preserve">El primero es que el desenlace pueda atribuirse a </w:t>
      </w:r>
      <w:r>
        <w:rPr>
          <w:rFonts w:ascii="Times New Roman" w:hAnsi="Times New Roman"/>
          <w:b w:val="0"/>
          <w:i/>
          <w:sz w:val="22"/>
        </w:rPr>
        <w:t>P. aeruginosa</w:t>
      </w:r>
      <w:r>
        <w:rPr>
          <w:rFonts w:ascii="Times New Roman" w:hAnsi="Times New Roman"/>
          <w:b w:val="0"/>
          <w:i w:val="0"/>
          <w:sz w:val="22"/>
        </w:rP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rFonts w:ascii="Times New Roman" w:hAnsi="Times New Roman"/>
          <w:b w:val="0"/>
          <w:i/>
          <w:sz w:val="22"/>
        </w:rPr>
        <w:t>prevención</w:t>
      </w:r>
      <w:r>
        <w:rPr>
          <w:rFonts w:ascii="Times New Roman" w:hAnsi="Times New Roman"/>
          <w:b w:val="0"/>
          <w:i w:val="0"/>
          <w:sz w:val="22"/>
        </w:rPr>
        <w:t xml:space="preserve"> de neumonía asociada a ventilación, y su desenlace —ausencia de neumonía incidente— no mide lo mismo que la curación de una infección establecida. Queda 1.</w:t>
      </w:r>
    </w:p>
    <w:p>
      <w:pPr>
        <w:jc w:val="both"/>
      </w:pPr>
      <w:r>
        <w:rPr>
          <w:rFonts w:ascii="Times New Roman" w:hAnsi="Times New Roman"/>
          <w:b w:val="0"/>
          <w:i w:val="0"/>
          <w:sz w:val="22"/>
        </w:rPr>
        <w:t xml:space="preserve">Ese último es PhagoBurn, cuyo desenlace principal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no es una proporción, y solo entraría en un metaanálisis de proporciones si el sintetizador la convirtiera en una. </w:t>
      </w:r>
      <w:r>
        <w:rPr>
          <w:rFonts w:ascii="Times New Roman" w:hAnsi="Times New Roman"/>
          <w:b/>
          <w:i w:val="0"/>
          <w:sz w:val="22"/>
        </w:rPr>
        <w:t>No queda ninguno.</w:t>
      </w:r>
    </w:p>
    <w:p>
      <w:pPr>
        <w:jc w:val="both"/>
      </w:pPr>
      <w:r>
        <w:rPr>
          <w:rFonts w:ascii="Times New Roman" w:hAnsi="Times New Roman"/>
          <w:b w:val="0"/>
          <w:i w:val="0"/>
          <w:sz w:val="22"/>
        </w:rPr>
        <w:t xml:space="preserve">Dicho de otro modo: de los 103 brazos de esta literatura, </w:t>
      </w:r>
      <w:r>
        <w:rPr>
          <w:rFonts w:ascii="Times New Roman" w:hAnsi="Times New Roman"/>
          <w:b/>
          <w:i w:val="0"/>
          <w:sz w:val="22"/>
        </w:rPr>
        <w:t>ninguno reúne a la vez las condiciones aritméticas y los criterios de elegibilidad que harían de su éxito clínico un sumando legítimo de una proporción agrupada</w:t>
      </w:r>
      <w:r>
        <w:rPr>
          <w:rFonts w:ascii="Times New Roman" w:hAnsi="Times New Roman"/>
          <w:b w:val="0"/>
          <w:i w:val="0"/>
          <w:sz w:val="22"/>
        </w:rPr>
        <w:t>. No es que los estudios disponibles sean pocos: es que no hay ninguno. La tabla 6 recoge el embudo, paso a paso.</w:t>
      </w:r>
    </w:p>
    <w:p>
      <w:pPr>
        <w:spacing w:before="200" w:after="100"/>
      </w:pPr>
      <w:r>
        <w:rPr>
          <w:rFonts w:ascii="Times New Roman" w:hAnsi="Times New Roman"/>
          <w:b/>
          <w:i w:val="0"/>
          <w:sz w:val="22"/>
        </w:rPr>
        <w:t>3.6 Viabilidad de la síntesis cuantitativa</w:t>
      </w:r>
    </w:p>
    <w:p>
      <w:pPr>
        <w:jc w:val="both"/>
      </w:pPr>
      <w:r>
        <w:rPr>
          <w:rFonts w:ascii="Times New Roman" w:hAnsi="Times New Roman"/>
          <w:b w:val="0"/>
          <w:i w:val="0"/>
          <w:sz w:val="22"/>
        </w:rPr>
        <w:t>Un metaanálisis de proporciones exige denominadores interpretables, un desenlace que nombre lo mismo en todos los estudios y una intervención suficientemente homogénea. El cuerpo delimitado aquí falla en los tres requisitos.</w:t>
      </w:r>
    </w:p>
    <w:p>
      <w:pPr>
        <w:jc w:val="both"/>
      </w:pPr>
      <w:r>
        <w:rPr>
          <w:rFonts w:ascii="Times New Roman" w:hAnsi="Times New Roman"/>
          <w:b/>
          <w:i w:val="0"/>
          <w:sz w:val="22"/>
        </w:rPr>
        <w:t>Denominadores.</w:t>
      </w:r>
      <w:r>
        <w:rPr>
          <w:rFonts w:ascii="Times New Roman" w:hAnsi="Times New Roman"/>
          <w:b w:val="0"/>
          <w:i w:val="0"/>
          <w:sz w:val="22"/>
        </w:rP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pPr>
        <w:jc w:val="both"/>
      </w:pPr>
      <w:r>
        <w:rPr>
          <w:rFonts w:ascii="Times New Roman" w:hAnsi="Times New Roman"/>
          <w:b/>
          <w:i w:val="0"/>
          <w:sz w:val="22"/>
        </w:rPr>
        <w:t>Desenlace.</w:t>
      </w:r>
      <w:r>
        <w:rPr>
          <w:rFonts w:ascii="Times New Roman" w:hAnsi="Times New Roman"/>
          <w:b w:val="0"/>
          <w:i w:val="0"/>
          <w:sz w:val="22"/>
        </w:rP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(20). En el otro, criterios de alta hospitalaria: paciente dado de alta, decanulado y rehabilitado (4). Y entre medias, la etiqueta sin criterio: «buen desenlace clínico» declarado por los autores como binario, sin decir qué había que observar (21).</w:t>
      </w:r>
    </w:p>
    <w:p>
      <w:pPr>
        <w:jc w:val="both"/>
      </w:pPr>
      <w:r>
        <w:rPr>
          <w:rFonts w:ascii="Times New Roman" w:hAnsi="Times New Roman"/>
          <w:b w:val="0"/>
          <w:i w:val="0"/>
          <w:sz w:val="22"/>
        </w:rPr>
        <w:t xml:space="preserve">El problema no es solo de heterogeneidad. </w:t>
      </w:r>
      <w:r>
        <w:rPr>
          <w:rFonts w:ascii="Times New Roman" w:hAnsi="Times New Roman"/>
          <w:b/>
          <w:i w:val="0"/>
          <w:sz w:val="22"/>
        </w:rPr>
        <w:t>Dos de los ensayos aleatorizados de referencia no reportan una proporción binaria de éxito en absoluto</w:t>
      </w:r>
      <w:r>
        <w:rPr>
          <w:rFonts w:ascii="Times New Roman" w:hAnsi="Times New Roman"/>
          <w:b w:val="0"/>
          <w:i w:val="0"/>
          <w:sz w:val="22"/>
        </w:rPr>
        <w:t xml:space="preserve">: el desenlace principal de PhagoBurn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y el de BX004-A es una variable </w:t>
      </w:r>
      <w:r>
        <w:rPr>
          <w:rFonts w:ascii="Times New Roman" w:hAnsi="Times New Roman"/>
          <w:b w:val="0"/>
          <w:i/>
          <w:sz w:val="22"/>
        </w:rPr>
        <w:t>continua</w:t>
      </w:r>
      <w:r>
        <w:rPr>
          <w:rFonts w:ascii="Times New Roman" w:hAnsi="Times New Roman"/>
          <w:b w:val="0"/>
          <w:i w:val="0"/>
          <w:sz w:val="22"/>
        </w:rPr>
        <w:t>, la reducción media de UFC en escala logarítmica al día 15 (18). Un metaanálisis de proporciones no puede incluirlos sin convertir en binario lo que sus autores midieron de otra forma, y esa conversión la haría el sintetizador, no el estudio.</w:t>
      </w:r>
    </w:p>
    <w:p>
      <w:pPr>
        <w:jc w:val="both"/>
      </w:pPr>
      <w:r>
        <w:rPr>
          <w:rFonts w:ascii="Times New Roman" w:hAnsi="Times New Roman"/>
          <w:b w:val="0"/>
          <w:i w:val="0"/>
          <w:sz w:val="22"/>
        </w:rPr>
        <w:t xml:space="preserve">Estas definiciones proceden de los textos completos ya recuperados, no de la pre-extracción desde resúmenes: </w:t>
      </w:r>
      <w:r>
        <w:rPr>
          <w:rFonts w:ascii="Times New Roman" w:hAnsi="Times New Roman"/>
          <w:b/>
          <w:i w:val="0"/>
          <w:sz w:val="22"/>
        </w:rPr>
        <w:t>ningún resumen del corpus declara la definición de éxito clínico</w:t>
      </w:r>
      <w:r>
        <w:rPr>
          <w:rFonts w:ascii="Times New Roman" w:hAnsi="Times New Roman"/>
          <w:b w:val="0"/>
          <w:i w:val="0"/>
          <w:sz w:val="22"/>
        </w:rPr>
        <w:t>, lo que es en sí mismo un dato sobre el reporte del campo.</w:t>
      </w:r>
    </w:p>
    <w:p>
      <w:pPr>
        <w:jc w:val="both"/>
      </w:pPr>
      <w:r>
        <w:rPr>
          <w:rFonts w:ascii="Times New Roman" w:hAnsi="Times New Roman"/>
          <w:b/>
          <w:i w:val="0"/>
          <w:sz w:val="22"/>
        </w:rPr>
        <w:t>Intervención.</w:t>
      </w:r>
      <w:r>
        <w:rPr>
          <w:rFonts w:ascii="Times New Roman" w:hAnsi="Times New Roman"/>
          <w:b w:val="0"/>
          <w:i w:val="0"/>
          <w:sz w:val="22"/>
        </w:rP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pPr>
        <w:jc w:val="both"/>
      </w:pPr>
      <w:r>
        <w:rPr>
          <w:rFonts w:ascii="Times New Roman" w:hAnsi="Times New Roman"/>
          <w:b w:val="0"/>
          <w:i w:val="0"/>
          <w:sz w:val="22"/>
        </w:rPr>
        <w:t xml:space="preserve">A ello se añade el sesgo de recuperación documentado en la sección 3.2, que en el estado actual excluiría de la síntesis a dos tercios de los estudios comparativos. </w:t>
      </w:r>
      <w:r>
        <w:rPr>
          <w:rFonts w:ascii="Times New Roman" w:hAnsi="Times New Roman"/>
          <w:b/>
          <w:i w:val="0"/>
          <w:sz w:val="22"/>
        </w:rPr>
        <w:t>Por estas razones no se presenta ninguna proporción agrupada de eficacia</w:t>
      </w:r>
      <w:r>
        <w:rPr>
          <w:rFonts w:ascii="Times New Roman" w:hAnsi="Times New Roman"/>
          <w:b w:val="0"/>
          <w:i w:val="0"/>
          <w:sz w:val="22"/>
        </w:rPr>
        <w:t>, y se sostiene que las publicadas en revisiones previas descansan sobre supuestos que estos datos no verifican.</w:t>
      </w:r>
    </w:p>
    <w:p>
      <w:pPr>
        <w:spacing w:before="200" w:after="100"/>
      </w:pPr>
      <w:r>
        <w:rPr>
          <w:rFonts w:ascii="Times New Roman" w:hAnsi="Times New Roman"/>
          <w:b/>
          <w:i w:val="0"/>
          <w:sz w:val="22"/>
        </w:rPr>
        <w:t>3.7 Riesgo de sesgo de los estudios comparativos</w:t>
      </w:r>
    </w:p>
    <w:p>
      <w:pPr>
        <w:jc w:val="both"/>
      </w:pPr>
      <w:r>
        <w:rPr>
          <w:rFonts w:ascii="Times New Roman" w:hAnsi="Times New Roman"/>
          <w:b w:val="0"/>
          <w:i w:val="0"/>
          <w:sz w:val="22"/>
        </w:rPr>
        <w:t>De los 3 estudios evaluados con RoB 2, el juicio global es de bajo riesgo en 2 y de algunas preocupaciones en 1. De los 8 estudios evaluados con ROBINS-I, el juicio global es de riesgo moderado en 2 y de riesgo grave en 6. El dominio que más juicios desfavorables concentra en ROBINS-I —alto riesgo en RoB 2; grave o crítico en ROBINS-I— es «sesgo por confusión», con 6 de 8. Los 82 juicios se emitieron en una evaluación única acordada entre los dos autores; al no haber dos lecturas independientes, no se reporta concordancia entre revisores.</w:t>
      </w:r>
    </w:p>
    <w:p>
      <w:pPr>
        <w:spacing w:before="240" w:after="100" w:line="240" w:lineRule="auto"/>
      </w:pPr>
      <w:r>
        <w:rPr>
          <w:rFonts w:ascii="Times New Roman" w:hAnsi="Times New Roman"/>
          <w:b/>
          <w:i w:val="0"/>
          <w:sz w:val="18"/>
        </w:rPr>
        <w:t>Tabla 7.</w:t>
      </w:r>
      <w:r>
        <w:rPr>
          <w:rFonts w:ascii="Times New Roman" w:hAnsi="Times New Roman"/>
          <w:b w:val="0"/>
          <w:i w:val="0"/>
          <w:sz w:val="18"/>
        </w:rPr>
        <w:t xml:space="preserve"> Riesgo de sesgo por dominio de los 11 estudios comparativos evaluables. RoB 2 en los ensayos aleatorizados (cinco dominios) y ROBINS-I en los no aleatorizados y las cohortes (siete). «n. a.» marca los dominios que el instrumento no contempla, no un juicio que falte.</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r/>
            <w:r>
              <w:rPr>
                <w:rFonts w:ascii="Times New Roman" w:hAnsi="Times New Roman"/>
                <w:b/>
                <w:i w:val="0"/>
                <w:sz w:val="18"/>
              </w:rPr>
              <w:t>Estudio</w:t>
            </w:r>
          </w:p>
        </w:tc>
        <w:tc>
          <w:tcPr>
            <w:tcW w:type="dxa" w:w="821"/>
          </w:tcPr>
          <w:p>
            <w:r/>
            <w:r>
              <w:rPr>
                <w:rFonts w:ascii="Times New Roman" w:hAnsi="Times New Roman"/>
                <w:b/>
                <w:i w:val="0"/>
                <w:sz w:val="18"/>
              </w:rPr>
              <w:t>Diseño</w:t>
            </w:r>
          </w:p>
        </w:tc>
        <w:tc>
          <w:tcPr>
            <w:tcW w:type="dxa" w:w="821"/>
          </w:tcPr>
          <w:p>
            <w:r/>
            <w:r>
              <w:rPr>
                <w:rFonts w:ascii="Times New Roman" w:hAnsi="Times New Roman"/>
                <w:b/>
                <w:i w:val="0"/>
                <w:sz w:val="18"/>
              </w:rPr>
              <w:t>Herramienta</w:t>
            </w:r>
          </w:p>
        </w:tc>
        <w:tc>
          <w:tcPr>
            <w:tcW w:type="dxa" w:w="821"/>
          </w:tcPr>
          <w:p>
            <w:r/>
            <w:r>
              <w:rPr>
                <w:rFonts w:ascii="Times New Roman" w:hAnsi="Times New Roman"/>
                <w:b/>
                <w:i w:val="0"/>
                <w:sz w:val="18"/>
              </w:rPr>
              <w:t>D1</w:t>
            </w:r>
          </w:p>
        </w:tc>
        <w:tc>
          <w:tcPr>
            <w:tcW w:type="dxa" w:w="821"/>
          </w:tcPr>
          <w:p>
            <w:r/>
            <w:r>
              <w:rPr>
                <w:rFonts w:ascii="Times New Roman" w:hAnsi="Times New Roman"/>
                <w:b/>
                <w:i w:val="0"/>
                <w:sz w:val="18"/>
              </w:rPr>
              <w:t>D2</w:t>
            </w:r>
          </w:p>
        </w:tc>
        <w:tc>
          <w:tcPr>
            <w:tcW w:type="dxa" w:w="821"/>
          </w:tcPr>
          <w:p>
            <w:r/>
            <w:r>
              <w:rPr>
                <w:rFonts w:ascii="Times New Roman" w:hAnsi="Times New Roman"/>
                <w:b/>
                <w:i w:val="0"/>
                <w:sz w:val="18"/>
              </w:rPr>
              <w:t>D3</w:t>
            </w:r>
          </w:p>
        </w:tc>
        <w:tc>
          <w:tcPr>
            <w:tcW w:type="dxa" w:w="821"/>
          </w:tcPr>
          <w:p>
            <w:r/>
            <w:r>
              <w:rPr>
                <w:rFonts w:ascii="Times New Roman" w:hAnsi="Times New Roman"/>
                <w:b/>
                <w:i w:val="0"/>
                <w:sz w:val="18"/>
              </w:rPr>
              <w:t>D4</w:t>
            </w:r>
          </w:p>
        </w:tc>
        <w:tc>
          <w:tcPr>
            <w:tcW w:type="dxa" w:w="821"/>
          </w:tcPr>
          <w:p>
            <w:r/>
            <w:r>
              <w:rPr>
                <w:rFonts w:ascii="Times New Roman" w:hAnsi="Times New Roman"/>
                <w:b/>
                <w:i w:val="0"/>
                <w:sz w:val="18"/>
              </w:rPr>
              <w:t>D5</w:t>
            </w:r>
          </w:p>
        </w:tc>
        <w:tc>
          <w:tcPr>
            <w:tcW w:type="dxa" w:w="821"/>
          </w:tcPr>
          <w:p>
            <w:r/>
            <w:r>
              <w:rPr>
                <w:rFonts w:ascii="Times New Roman" w:hAnsi="Times New Roman"/>
                <w:b/>
                <w:i w:val="0"/>
                <w:sz w:val="18"/>
              </w:rPr>
              <w:t>D6</w:t>
            </w:r>
          </w:p>
        </w:tc>
        <w:tc>
          <w:tcPr>
            <w:tcW w:type="dxa" w:w="821"/>
          </w:tcPr>
          <w:p>
            <w:r/>
            <w:r>
              <w:rPr>
                <w:rFonts w:ascii="Times New Roman" w:hAnsi="Times New Roman"/>
                <w:b/>
                <w:i w:val="0"/>
                <w:sz w:val="18"/>
              </w:rPr>
              <w:t>D7</w:t>
            </w:r>
          </w:p>
        </w:tc>
        <w:tc>
          <w:tcPr>
            <w:tcW w:type="dxa" w:w="821"/>
          </w:tcPr>
          <w:p>
            <w:r/>
            <w:r>
              <w:rPr>
                <w:rFonts w:ascii="Times New Roman" w:hAnsi="Times New Roman"/>
                <w:b/>
                <w:i w:val="0"/>
                <w:sz w:val="18"/>
              </w:rPr>
              <w:t>Juicio global</w:t>
            </w:r>
          </w:p>
        </w:tc>
      </w:tr>
      <w:tr>
        <w:tc>
          <w:tcPr>
            <w:tcW w:type="dxa" w:w="821"/>
          </w:tcPr>
          <w:p>
            <w:r/>
            <w:r>
              <w:rPr>
                <w:rFonts w:ascii="Times New Roman" w:hAnsi="Times New Roman"/>
                <w:b w:val="0"/>
                <w:i w:val="0"/>
                <w:sz w:val="18"/>
              </w:rPr>
              <w:t>EST-008</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EST-021</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EST-132</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Algunas preocupaciones</w:t>
            </w:r>
          </w:p>
        </w:tc>
      </w:tr>
      <w:tr>
        <w:tc>
          <w:tcPr>
            <w:tcW w:type="dxa" w:w="821"/>
          </w:tcPr>
          <w:p>
            <w:r/>
            <w:r>
              <w:rPr>
                <w:rFonts w:ascii="Times New Roman" w:hAnsi="Times New Roman"/>
                <w:b w:val="0"/>
                <w:i w:val="0"/>
                <w:sz w:val="18"/>
              </w:rPr>
              <w:t>EST-055</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EST-063</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r>
      <w:tr>
        <w:tc>
          <w:tcPr>
            <w:tcW w:type="dxa" w:w="821"/>
          </w:tcPr>
          <w:p>
            <w:r/>
            <w:r>
              <w:rPr>
                <w:rFonts w:ascii="Times New Roman" w:hAnsi="Times New Roman"/>
                <w:b w:val="0"/>
                <w:i w:val="0"/>
                <w:sz w:val="18"/>
              </w:rPr>
              <w:t>EST-070</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EST-096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EST-108</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EST-116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r>
      <w:tr>
        <w:tc>
          <w:tcPr>
            <w:tcW w:type="dxa" w:w="821"/>
          </w:tcPr>
          <w:p>
            <w:r/>
            <w:r>
              <w:rPr>
                <w:rFonts w:ascii="Times New Roman" w:hAnsi="Times New Roman"/>
                <w:b w:val="0"/>
                <w:i w:val="0"/>
                <w:sz w:val="18"/>
              </w:rPr>
              <w:t>EST-146</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EST-152</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bl>
    <w:p/>
    <w:p>
      <w:pPr>
        <w:spacing w:before="280" w:after="140"/>
      </w:pPr>
      <w:r>
        <w:rPr>
          <w:rFonts w:ascii="Times New Roman" w:hAnsi="Times New Roman"/>
          <w:b/>
          <w:i w:val="0"/>
          <w:sz w:val="24"/>
        </w:rPr>
        <w:t>4. Discusión</w:t>
      </w:r>
    </w:p>
    <w:p>
      <w:pPr>
        <w:spacing w:before="200" w:after="100"/>
      </w:pPr>
      <w:r>
        <w:rPr>
          <w:rFonts w:ascii="Times New Roman" w:hAnsi="Times New Roman"/>
          <w:b/>
          <w:i w:val="0"/>
          <w:sz w:val="22"/>
        </w:rPr>
        <w:t>4.1 Hallazgos principales</w:t>
      </w:r>
    </w:p>
    <w:p>
      <w:pPr>
        <w:jc w:val="both"/>
      </w:pPr>
      <w:r>
        <w:rPr>
          <w:rFonts w:ascii="Times New Roman" w:hAnsi="Times New Roman"/>
          <w:b w:val="0"/>
          <w:i w:val="0"/>
          <w:sz w:val="22"/>
        </w:rPr>
        <w:t xml:space="preserve">Esta revisión delimita 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con más amplitud que las síntesis previas: ocho fuentes, sin restricción de idioma, con literatura regional y registros de ensayos incluidos. El resultado son 155 estudios frente a las decenas que manejan las revisiones publicadas, y habrían sido 219 sin la restricción de idioma que se adoptó al final y sin los 29 que salieron después. Ese aumento no habla bien de la madurez del campo. La mayor parte procede de reportes de caso, de fichas de registro sin publicación y de literatura regional que las búsquedas restringidas a PubMed y Scopus no alcanzan.</w:t>
      </w:r>
    </w:p>
    <w:p>
      <w:pPr>
        <w:jc w:val="both"/>
      </w:pPr>
      <w:r>
        <w:rPr>
          <w:rFonts w:ascii="Times New Roman" w:hAnsi="Times New Roman"/>
          <w:b w:val="0"/>
          <w:i w:val="0"/>
          <w:sz w:val="22"/>
        </w:rPr>
        <w:t xml:space="preserve">El resultado central es negativo y conviene enunciarlo sin rodeos: </w:t>
      </w:r>
      <w:r>
        <w:rPr>
          <w:rFonts w:ascii="Times New Roman" w:hAnsi="Times New Roman"/>
          <w:b/>
          <w:i w:val="0"/>
          <w:sz w:val="22"/>
        </w:rPr>
        <w:t>la amplitud del cuerpo de evidencia no se traduce en capacidad de síntesis</w:t>
      </w:r>
      <w:r>
        <w:rPr>
          <w:rFonts w:ascii="Times New Roman" w:hAnsi="Times New Roman"/>
          <w:b w:val="0"/>
          <w:i w:val="0"/>
          <w:sz w:val="22"/>
        </w:rP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spacing w:before="200" w:after="100"/>
      </w:pPr>
      <w:r>
        <w:rPr>
          <w:rFonts w:ascii="Times New Roman" w:hAnsi="Times New Roman"/>
          <w:b/>
          <w:i w:val="0"/>
          <w:sz w:val="22"/>
        </w:rPr>
        <w:t>4.2 Comparación con la literatura previa</w:t>
      </w:r>
    </w:p>
    <w:p>
      <w:pPr>
        <w:jc w:val="both"/>
      </w:pPr>
      <w:r>
        <w:rPr>
          <w:rFonts w:ascii="Times New Roman" w:hAnsi="Times New Roman"/>
          <w:b w:val="0"/>
          <w:i w:val="0"/>
          <w:sz w:val="22"/>
        </w:rPr>
        <w:t>Las revisiones recientes han reportado proporciones globales de éxito clínico que superan sistemáticamente el 80 % (6,7).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pPr>
        <w:jc w:val="both"/>
      </w:pPr>
      <w:r>
        <w:rPr>
          <w:rFonts w:ascii="Times New Roman" w:hAnsi="Times New Roman"/>
          <w:b w:val="0"/>
          <w:i w:val="0"/>
          <w:sz w:val="22"/>
        </w:rP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spacing w:before="200" w:after="100"/>
      </w:pPr>
      <w:r>
        <w:rPr>
          <w:rFonts w:ascii="Times New Roman" w:hAnsi="Times New Roman"/>
          <w:b/>
          <w:i w:val="0"/>
          <w:sz w:val="22"/>
        </w:rPr>
        <w:t>4.3 Implicaciones</w:t>
      </w:r>
    </w:p>
    <w:p>
      <w:pPr>
        <w:jc w:val="both"/>
      </w:pPr>
      <w:r>
        <w:rPr>
          <w:rFonts w:ascii="Times New Roman" w:hAnsi="Times New Roman"/>
          <w:b/>
          <w:i w:val="0"/>
          <w:sz w:val="22"/>
        </w:rPr>
        <w:t>Para la práctica clínica.</w:t>
      </w:r>
      <w:r>
        <w:rPr>
          <w:rFonts w:ascii="Times New Roman" w:hAnsi="Times New Roman"/>
          <w:b w:val="0"/>
          <w:i w:val="0"/>
          <w:sz w:val="22"/>
        </w:rPr>
        <w:t xml:space="preserve"> Ninguna proporción publicada de éxito de la fagoterapia en </w:t>
      </w:r>
      <w:r>
        <w:rPr>
          <w:rFonts w:ascii="Times New Roman" w:hAnsi="Times New Roman"/>
          <w:b w:val="0"/>
          <w:i/>
          <w:sz w:val="22"/>
        </w:rPr>
        <w:t>P. aeruginosa</w:t>
      </w:r>
      <w:r>
        <w:rPr>
          <w:rFonts w:ascii="Times New Roman" w:hAnsi="Times New Roman"/>
          <w:b w:val="0"/>
          <w:i w:val="0"/>
          <w:sz w:val="22"/>
        </w:rP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pPr>
        <w:jc w:val="both"/>
      </w:pPr>
      <w:r>
        <w:rPr>
          <w:rFonts w:ascii="Times New Roman" w:hAnsi="Times New Roman"/>
          <w:b/>
          <w:i w:val="0"/>
          <w:sz w:val="22"/>
        </w:rPr>
        <w:t>Para la investigación.</w:t>
      </w:r>
      <w:r>
        <w:rPr>
          <w:rFonts w:ascii="Times New Roman" w:hAnsi="Times New Roman"/>
          <w:b w:val="0"/>
          <w:i w:val="0"/>
          <w:sz w:val="22"/>
        </w:rP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pPr>
        <w:jc w:val="both"/>
      </w:pPr>
      <w:r>
        <w:rPr>
          <w:rFonts w:ascii="Times New Roman" w:hAnsi="Times New Roman"/>
          <w:b/>
          <w:i w:val="0"/>
          <w:sz w:val="22"/>
        </w:rPr>
        <w:t>Para los registros.</w:t>
      </w:r>
      <w:r>
        <w:rPr>
          <w:rFonts w:ascii="Times New Roman" w:hAnsi="Times New Roman"/>
          <w:b w:val="0"/>
          <w:i w:val="0"/>
          <w:sz w:val="22"/>
        </w:rPr>
        <w:t xml:space="preserve"> Que 60 de 155 estudios sean fichas de registro sin publicación localizable es un problema de sesgo de publicación de primer orden, y no se resuelve con métodos estadísticos.</w:t>
      </w:r>
    </w:p>
    <w:p>
      <w:pPr>
        <w:spacing w:before="200" w:after="100"/>
      </w:pPr>
      <w:r>
        <w:rPr>
          <w:rFonts w:ascii="Times New Roman" w:hAnsi="Times New Roman"/>
          <w:b/>
          <w:i w:val="0"/>
          <w:sz w:val="22"/>
        </w:rPr>
        <w:t>4.4 Fortalezas y limitaciones</w:t>
      </w:r>
    </w:p>
    <w:p>
      <w:pPr>
        <w:jc w:val="both"/>
      </w:pPr>
      <w:r>
        <w:rPr>
          <w:rFonts w:ascii="Times New Roman" w:hAnsi="Times New Roman"/>
          <w:b/>
          <w:i w:val="0"/>
          <w:sz w:val="22"/>
        </w:rPr>
        <w:t>Fortalezas.</w:t>
      </w:r>
      <w:r>
        <w:rPr>
          <w:rFonts w:ascii="Times New Roman" w:hAnsi="Times New Roman"/>
          <w:b w:val="0"/>
          <w:i w:val="0"/>
          <w:sz w:val="22"/>
        </w:rP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pPr>
        <w:jc w:val="both"/>
      </w:pPr>
      <w:r>
        <w:rPr>
          <w:rFonts w:ascii="Times New Roman" w:hAnsi="Times New Roman"/>
          <w:b/>
          <w:i w:val="0"/>
          <w:sz w:val="22"/>
        </w:rPr>
        <w:t>Limitaciones.</w:t>
      </w:r>
      <w:r>
        <w:rPr>
          <w:rFonts w:ascii="Times New Roman" w:hAnsi="Times New Roman"/>
          <w:b w:val="0"/>
          <w:i w:val="0"/>
          <w:sz w:val="22"/>
        </w:rPr>
        <w:t xml:space="preserve"> Son seis y todas materiales. </w:t>
      </w:r>
      <w:r>
        <w:rPr>
          <w:rFonts w:ascii="Times New Roman" w:hAnsi="Times New Roman"/>
          <w:b/>
          <w:i w:val="0"/>
          <w:sz w:val="22"/>
        </w:rPr>
        <w:t>Primera:</w:t>
      </w:r>
      <w:r>
        <w:rPr>
          <w:rFonts w:ascii="Times New Roman" w:hAnsi="Times New Roman"/>
          <w:b w:val="0"/>
          <w:i w:val="0"/>
          <w:sz w:val="22"/>
        </w:rP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rFonts w:ascii="Times New Roman" w:hAnsi="Times New Roman"/>
          <w:b/>
          <w:i w:val="0"/>
          <w:sz w:val="22"/>
        </w:rPr>
        <w:t>Segunda:</w:t>
      </w:r>
      <w:r>
        <w:rPr>
          <w:rFonts w:ascii="Times New Roman" w:hAnsi="Times New Roman"/>
          <w:b w:val="0"/>
          <w:i w:val="0"/>
          <w:sz w:val="22"/>
        </w:rPr>
        <w:t xml:space="preserve"> la búsqueda no interrogó Embase ni el ICTRP de la OMS, lo que reduce la cobertura de series de casos y resúmenes de congreso y deja la corriente de registros limitada a Estados Unidos y la Unión Europea. </w:t>
      </w:r>
      <w:r>
        <w:rPr>
          <w:rFonts w:ascii="Times New Roman" w:hAnsi="Times New Roman"/>
          <w:b/>
          <w:i w:val="0"/>
          <w:sz w:val="22"/>
        </w:rPr>
        <w:t>Tercera:</w:t>
      </w:r>
      <w:r>
        <w:rPr>
          <w:rFonts w:ascii="Times New Roman" w:hAnsi="Times New Roman"/>
          <w:b w:val="0"/>
          <w:i w:val="0"/>
          <w:sz w:val="22"/>
        </w:rPr>
        <w:t xml:space="preserve"> se limitó a publicaciones de 2016 a 2026, de modo que describe la producción reciente y no el campo entero. </w:t>
      </w:r>
      <w:r>
        <w:rPr>
          <w:rFonts w:ascii="Times New Roman" w:hAnsi="Times New Roman"/>
          <w:b/>
          <w:i w:val="0"/>
          <w:sz w:val="22"/>
        </w:rPr>
        <w:t>Cuarta:</w:t>
      </w:r>
      <w:r>
        <w:rPr>
          <w:rFonts w:ascii="Times New Roman" w:hAnsi="Times New Roman"/>
          <w:b w:val="0"/>
          <w:i w:val="0"/>
          <w:sz w:val="22"/>
        </w:rP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no admite medida de concordancia entre revisores. </w:t>
      </w:r>
      <w:r>
        <w:rPr>
          <w:rFonts w:ascii="Times New Roman" w:hAnsi="Times New Roman"/>
          <w:b/>
          <w:i w:val="0"/>
          <w:sz w:val="22"/>
        </w:rPr>
        <w:t>Quinta:</w:t>
      </w:r>
      <w:r>
        <w:rPr>
          <w:rFonts w:ascii="Times New Roman" w:hAnsi="Times New Roman"/>
          <w:b w:val="0"/>
          <w:i w:val="0"/>
          <w:sz w:val="22"/>
        </w:rPr>
        <w:t xml:space="preserve"> el texto completo se obtuvo para el 74,7 % de los estudios recuperables, y la fracción faltante está enriquecida en diseños comparativos, de manera que lo descrito subrepresenta la parte comparativa del campo. </w:t>
      </w:r>
      <w:r>
        <w:rPr>
          <w:rFonts w:ascii="Times New Roman" w:hAnsi="Times New Roman"/>
          <w:b/>
          <w:i w:val="0"/>
          <w:sz w:val="22"/>
        </w:rPr>
        <w:t>Sexta:</w:t>
      </w:r>
      <w:r>
        <w:rPr>
          <w:rFonts w:ascii="Times New Roman" w:hAnsi="Times New Roman"/>
          <w:b w:val="0"/>
          <w:i w:val="0"/>
          <w:sz w:val="22"/>
        </w:rP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spacing w:before="280" w:after="140"/>
      </w:pPr>
      <w:r>
        <w:rPr>
          <w:rFonts w:ascii="Times New Roman" w:hAnsi="Times New Roman"/>
          <w:b/>
          <w:i w:val="0"/>
          <w:sz w:val="24"/>
        </w:rPr>
        <w:t>5. Conclusiones</w:t>
      </w:r>
    </w:p>
    <w:p>
      <w:pPr>
        <w:jc w:val="both"/>
      </w:pPr>
      <w:r>
        <w:rPr>
          <w:rFonts w:ascii="Times New Roman" w:hAnsi="Times New Roman"/>
          <w:b w:val="0"/>
          <w:i w:val="0"/>
          <w:sz w:val="22"/>
        </w:rPr>
        <w:t xml:space="preserve">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spacing w:before="280" w:after="140"/>
      </w:pPr>
      <w:r>
        <w:rPr>
          <w:rFonts w:ascii="Times New Roman" w:hAnsi="Times New Roman"/>
          <w:b/>
          <w:i w:val="0"/>
          <w:sz w:val="24"/>
        </w:rPr>
        <w:t>Declaraciones</w:t>
      </w:r>
    </w:p>
    <w:p>
      <w:pPr>
        <w:jc w:val="both"/>
      </w:pPr>
      <w:r>
        <w:rPr>
          <w:rFonts w:ascii="Times New Roman" w:hAnsi="Times New Roman"/>
          <w:b/>
          <w:i w:val="0"/>
          <w:sz w:val="22"/>
        </w:rPr>
        <w:t>Financiación.</w:t>
      </w:r>
      <w:r>
        <w:rPr>
          <w:rFonts w:ascii="Times New Roman" w:hAnsi="Times New Roman"/>
          <w:b w:val="0"/>
          <w:i w:val="0"/>
          <w:sz w:val="22"/>
        </w:rPr>
        <w:t xml:space="preserve"> Esta revisión no recibió financiación específica de agencias públicas, comerciales o sin ánimo de lucro.</w:t>
      </w:r>
    </w:p>
    <w:p>
      <w:pPr>
        <w:jc w:val="both"/>
      </w:pPr>
      <w:r>
        <w:rPr>
          <w:rFonts w:ascii="Times New Roman" w:hAnsi="Times New Roman"/>
          <w:b/>
          <w:i w:val="0"/>
          <w:sz w:val="22"/>
        </w:rPr>
        <w:t>Aprobación ética y consentimiento.</w:t>
      </w:r>
      <w:r>
        <w:rPr>
          <w:rFonts w:ascii="Times New Roman" w:hAnsi="Times New Roman"/>
          <w:b w:val="0"/>
          <w:i w:val="0"/>
          <w:sz w:val="22"/>
        </w:rP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pPr>
        <w:jc w:val="both"/>
      </w:pPr>
      <w:r>
        <w:rPr>
          <w:rFonts w:ascii="Times New Roman" w:hAnsi="Times New Roman"/>
          <w:b/>
          <w:i w:val="0"/>
          <w:sz w:val="22"/>
        </w:rPr>
        <w:t>Conflictos de interés.</w:t>
      </w:r>
      <w:r>
        <w:rPr>
          <w:rFonts w:ascii="Times New Roman" w:hAnsi="Times New Roman"/>
          <w:b w:val="0"/>
          <w:i w:val="0"/>
          <w:sz w:val="22"/>
        </w:rPr>
        <w:t xml:space="preserve"> Los autores declaran no tener conflictos de interés.</w:t>
      </w:r>
    </w:p>
    <w:p>
      <w:pPr>
        <w:jc w:val="both"/>
      </w:pPr>
      <w:r>
        <w:rPr>
          <w:rFonts w:ascii="Times New Roman" w:hAnsi="Times New Roman"/>
          <w:b/>
          <w:i w:val="0"/>
          <w:sz w:val="22"/>
        </w:rPr>
        <w:t>Contribución de los autores (CRediT).</w:t>
      </w:r>
      <w:r>
        <w:rPr>
          <w:rFonts w:ascii="Times New Roman" w:hAnsi="Times New Roman"/>
          <w:b w:val="0"/>
          <w:i w:val="0"/>
          <w:sz w:val="22"/>
        </w:rPr>
        <w:t xml:space="preserve"> </w:t>
      </w:r>
      <w:r>
        <w:rPr>
          <w:rFonts w:ascii="Times New Roman" w:hAnsi="Times New Roman"/>
          <w:b/>
          <w:i w:val="0"/>
          <w:sz w:val="22"/>
        </w:rPr>
        <w:t>D. Valdiviezo:</w:t>
      </w:r>
      <w:r>
        <w:rPr>
          <w:rFonts w:ascii="Times New Roman" w:hAnsi="Times New Roman"/>
          <w:b w:val="0"/>
          <w:i w:val="0"/>
          <w:sz w:val="22"/>
        </w:rPr>
        <w:t xml:space="preserve">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w:t>
      </w:r>
      <w:r>
        <w:rPr>
          <w:rFonts w:ascii="Times New Roman" w:hAnsi="Times New Roman"/>
          <w:b/>
          <w:i w:val="0"/>
          <w:sz w:val="22"/>
        </w:rPr>
        <w:t>N. Trelles:</w:t>
      </w:r>
      <w:r>
        <w:rPr>
          <w:rFonts w:ascii="Times New Roman" w:hAnsi="Times New Roman"/>
          <w:b w:val="0"/>
          <w:i w:val="0"/>
          <w:sz w:val="22"/>
        </w:rPr>
        <w:t xml:space="preserve"> metodología (definiciones de desenlace), investigación, extracción de datos independiente (122 de los 124 estudios), validación, revisión y edición del manuscrito.</w:t>
      </w:r>
    </w:p>
    <w:p>
      <w:pPr>
        <w:jc w:val="both"/>
      </w:pPr>
      <w:r>
        <w:rPr>
          <w:rFonts w:ascii="Times New Roman" w:hAnsi="Times New Roman"/>
          <w:b/>
          <w:i w:val="0"/>
          <w:sz w:val="22"/>
        </w:rPr>
        <w:t>Disponibilidad de datos y código.</w:t>
      </w:r>
      <w:r>
        <w:rPr>
          <w:rFonts w:ascii="Times New Roman" w:hAnsi="Times New Roman"/>
          <w:b w:val="0"/>
          <w:i w:val="0"/>
          <w:sz w:val="22"/>
        </w:rP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pPr>
        <w:jc w:val="both"/>
      </w:pPr>
      <w:r>
        <w:rPr>
          <w:rFonts w:ascii="Times New Roman" w:hAnsi="Times New Roman"/>
          <w:b/>
          <w:i w:val="0"/>
          <w:sz w:val="22"/>
        </w:rPr>
        <w:t>Uso de inteligencia artificial.</w:t>
      </w:r>
      <w:r>
        <w:rPr>
          <w:rFonts w:ascii="Times New Roman" w:hAnsi="Times New Roman"/>
          <w:b w:val="0"/>
          <w:i w:val="0"/>
          <w:sz w:val="22"/>
        </w:rP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spacing w:before="280" w:after="140"/>
      </w:pPr>
      <w:r>
        <w:rPr>
          <w:rFonts w:ascii="Times New Roman" w:hAnsi="Times New Roman"/>
          <w:b/>
          <w:i w:val="0"/>
          <w:sz w:val="24"/>
        </w:rPr>
        <w:t>Tablas y figuras</w:t>
      </w:r>
    </w:p>
    <w:p>
      <w:pPr>
        <w:jc w:val="both"/>
      </w:pPr>
      <w:r>
        <w:rPr>
          <w:rFonts w:ascii="Times New Roman" w:hAnsi="Times New Roman"/>
          <w:b w:val="0"/>
          <w:i w:val="0"/>
          <w:sz w:val="22"/>
        </w:rPr>
        <w:t>Las seis tablas se aportan como archivos independientes (`paper/tablas/`), cada una con su nota al pie. Las dos figuras se aportan en PDF vectorial (`paper/figuras/`).</w:t>
      </w:r>
    </w:p>
    <w:p>
      <w:pPr>
        <w:spacing w:before="240" w:after="100" w:line="240" w:lineRule="auto"/>
      </w:pPr>
      <w:r>
        <w:rPr>
          <w:rFonts w:ascii="Times New Roman" w:hAnsi="Times New Roman"/>
          <w:b/>
          <w:i w:val="0"/>
          <w:sz w:val="18"/>
        </w:rPr>
        <w:t>Tabla 1.</w:t>
      </w:r>
      <w:r>
        <w:rPr>
          <w:rFonts w:ascii="Times New Roman" w:hAnsi="Times New Roman"/>
          <w:b w:val="0"/>
          <w:i w:val="0"/>
          <w:sz w:val="18"/>
        </w:rPr>
        <w:t xml:space="preserve"> Características del cuerpo de evidencia recuperable (n = 95 estudios).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Característica</w:t>
            </w:r>
          </w:p>
        </w:tc>
        <w:tc>
          <w:tcPr>
            <w:tcW w:type="dxa" w:w="3009"/>
          </w:tcPr>
          <w:p>
            <w:r/>
            <w:r>
              <w:rPr>
                <w:rFonts w:ascii="Times New Roman" w:hAnsi="Times New Roman"/>
                <w:b/>
                <w:i w:val="0"/>
                <w:sz w:val="18"/>
              </w:rPr>
              <w:t>n</w:t>
            </w:r>
          </w:p>
        </w:tc>
        <w:tc>
          <w:tcPr>
            <w:tcW w:type="dxa" w:w="3009"/>
          </w:tcPr>
          <w:p>
            <w:r/>
            <w:r>
              <w:rPr>
                <w:rFonts w:ascii="Times New Roman" w:hAnsi="Times New Roman"/>
                <w:b/>
                <w:i w:val="0"/>
                <w:sz w:val="18"/>
              </w:rPr>
              <w:t>%</w:t>
            </w:r>
          </w:p>
        </w:tc>
      </w:tr>
      <w:tr>
        <w:tc>
          <w:tcPr>
            <w:tcW w:type="dxa" w:w="3009"/>
          </w:tcPr>
          <w:p>
            <w:r/>
            <w:r>
              <w:rPr>
                <w:rFonts w:ascii="Times New Roman" w:hAnsi="Times New Roman"/>
                <w:b w:val="0"/>
                <w:i w:val="0"/>
                <w:sz w:val="18"/>
              </w:rPr>
              <w:t>Periodo de publicación</w:t>
            </w:r>
          </w:p>
        </w:tc>
        <w:tc>
          <w:tcPr>
            <w:tcW w:type="dxa" w:w="3009"/>
          </w:tcPr>
          <w:p>
            <w:r/>
            <w:r>
              <w:rPr>
                <w:rFonts w:ascii="Times New Roman" w:hAnsi="Times New Roman"/>
                <w:b w:val="0"/>
                <w:i w:val="0"/>
                <w:sz w:val="18"/>
              </w:rPr>
              <w:t>2016–2026</w:t>
            </w:r>
          </w:p>
        </w:tc>
        <w:tc>
          <w:tcPr>
            <w:tcW w:type="dxa" w:w="3009"/>
          </w:tcPr>
          <w:p>
            <w:r/>
            <w:r>
              <w:rPr>
                <w:rFonts w:ascii="Times New Roman" w:hAnsi="Times New Roman"/>
                <w:b w:val="0"/>
                <w:i w:val="0"/>
                <w:sz w:val="18"/>
              </w:rPr>
              <w:t>—</w:t>
            </w:r>
          </w:p>
        </w:tc>
      </w:tr>
      <w:tr>
        <w:tc>
          <w:tcPr>
            <w:tcW w:type="dxa" w:w="3009"/>
          </w:tcPr>
          <w:p>
            <w:r/>
            <w:r>
              <w:rPr>
                <w:rFonts w:ascii="Times New Roman" w:hAnsi="Times New Roman"/>
                <w:b w:val="0"/>
                <w:i w:val="0"/>
                <w:sz w:val="18"/>
              </w:rPr>
              <w:t>Publicados desde 2020</w:t>
            </w:r>
          </w:p>
        </w:tc>
        <w:tc>
          <w:tcPr>
            <w:tcW w:type="dxa" w:w="3009"/>
          </w:tcPr>
          <w:p>
            <w:r/>
            <w:r>
              <w:rPr>
                <w:rFonts w:ascii="Times New Roman" w:hAnsi="Times New Roman"/>
                <w:b w:val="0"/>
                <w:i w:val="0"/>
                <w:sz w:val="18"/>
              </w:rPr>
              <w:t>76</w:t>
            </w:r>
          </w:p>
        </w:tc>
        <w:tc>
          <w:tcPr>
            <w:tcW w:type="dxa" w:w="3009"/>
          </w:tcPr>
          <w:p>
            <w:r/>
            <w:r>
              <w:rPr>
                <w:rFonts w:ascii="Times New Roman" w:hAnsi="Times New Roman"/>
                <w:b w:val="0"/>
                <w:i w:val="0"/>
                <w:sz w:val="18"/>
              </w:rPr>
              <w:t>80.0</w:t>
            </w:r>
          </w:p>
        </w:tc>
      </w:tr>
      <w:tr>
        <w:tc>
          <w:tcPr>
            <w:tcW w:type="dxa" w:w="3009"/>
          </w:tcPr>
          <w:p>
            <w:r/>
            <w:r>
              <w:rPr>
                <w:rFonts w:ascii="Times New Roman" w:hAnsi="Times New Roman"/>
                <w:b/>
                <w:i w:val="0"/>
                <w:sz w:val="18"/>
              </w:rPr>
              <w:t>Diseño</w:t>
            </w:r>
          </w:p>
        </w:tc>
        <w:tc>
          <w:tcPr>
            <w:tcW w:type="dxa" w:w="3009"/>
          </w:tcPr>
          <w:p>
            <w:r/>
          </w:p>
        </w:tc>
        <w:tc>
          <w:tcPr>
            <w:tcW w:type="dxa" w:w="3009"/>
          </w:tcPr>
          <w:p>
            <w:r/>
          </w:p>
        </w:tc>
      </w:tr>
      <w:tr>
        <w:tc>
          <w:tcPr>
            <w:tcW w:type="dxa" w:w="3009"/>
          </w:tcPr>
          <w:p>
            <w:r/>
            <w:r>
              <w:rPr>
                <w:rFonts w:ascii="Times New Roman" w:hAnsi="Times New Roman"/>
                <w:b w:val="0"/>
                <w:i w:val="0"/>
                <w:sz w:val="18"/>
              </w:rPr>
              <w:t>Reporte de caso único</w:t>
            </w:r>
          </w:p>
        </w:tc>
        <w:tc>
          <w:tcPr>
            <w:tcW w:type="dxa" w:w="3009"/>
          </w:tcPr>
          <w:p>
            <w:r/>
            <w:r>
              <w:rPr>
                <w:rFonts w:ascii="Times New Roman" w:hAnsi="Times New Roman"/>
                <w:b w:val="0"/>
                <w:i w:val="0"/>
                <w:sz w:val="18"/>
              </w:rPr>
              <w:t>42</w:t>
            </w:r>
          </w:p>
        </w:tc>
        <w:tc>
          <w:tcPr>
            <w:tcW w:type="dxa" w:w="3009"/>
          </w:tcPr>
          <w:p>
            <w:r/>
            <w:r>
              <w:rPr>
                <w:rFonts w:ascii="Times New Roman" w:hAnsi="Times New Roman"/>
                <w:b w:val="0"/>
                <w:i w:val="0"/>
                <w:sz w:val="18"/>
              </w:rPr>
              <w:t>44.2</w:t>
            </w:r>
          </w:p>
        </w:tc>
      </w:tr>
      <w:tr>
        <w:tc>
          <w:tcPr>
            <w:tcW w:type="dxa" w:w="3009"/>
          </w:tcPr>
          <w:p>
            <w:r/>
            <w:r>
              <w:rPr>
                <w:rFonts w:ascii="Times New Roman" w:hAnsi="Times New Roman"/>
                <w:b w:val="0"/>
                <w:i w:val="0"/>
                <w:sz w:val="18"/>
              </w:rPr>
              <w:t>Serie de casos</w:t>
            </w:r>
          </w:p>
        </w:tc>
        <w:tc>
          <w:tcPr>
            <w:tcW w:type="dxa" w:w="3009"/>
          </w:tcPr>
          <w:p>
            <w:r/>
            <w:r>
              <w:rPr>
                <w:rFonts w:ascii="Times New Roman" w:hAnsi="Times New Roman"/>
                <w:b w:val="0"/>
                <w:i w:val="0"/>
                <w:sz w:val="18"/>
              </w:rPr>
              <w:t>18</w:t>
            </w:r>
          </w:p>
        </w:tc>
        <w:tc>
          <w:tcPr>
            <w:tcW w:type="dxa" w:w="3009"/>
          </w:tcPr>
          <w:p>
            <w:r/>
            <w:r>
              <w:rPr>
                <w:rFonts w:ascii="Times New Roman" w:hAnsi="Times New Roman"/>
                <w:b w:val="0"/>
                <w:i w:val="0"/>
                <w:sz w:val="18"/>
              </w:rPr>
              <w:t>18.9</w:t>
            </w:r>
          </w:p>
        </w:tc>
      </w:tr>
      <w:tr>
        <w:tc>
          <w:tcPr>
            <w:tcW w:type="dxa" w:w="3009"/>
          </w:tcPr>
          <w:p>
            <w:r/>
            <w:r>
              <w:rPr>
                <w:rFonts w:ascii="Times New Roman" w:hAnsi="Times New Roman"/>
                <w:b w:val="0"/>
                <w:i w:val="0"/>
                <w:sz w:val="18"/>
              </w:rPr>
              <w:t>Cohorte prospectiva</w:t>
            </w:r>
          </w:p>
        </w:tc>
        <w:tc>
          <w:tcPr>
            <w:tcW w:type="dxa" w:w="3009"/>
          </w:tcPr>
          <w:p>
            <w:r/>
            <w:r>
              <w:rPr>
                <w:rFonts w:ascii="Times New Roman" w:hAnsi="Times New Roman"/>
                <w:b w:val="0"/>
                <w:i w:val="0"/>
                <w:sz w:val="18"/>
              </w:rPr>
              <w:t>13</w:t>
            </w:r>
          </w:p>
        </w:tc>
        <w:tc>
          <w:tcPr>
            <w:tcW w:type="dxa" w:w="3009"/>
          </w:tcPr>
          <w:p>
            <w:r/>
            <w:r>
              <w:rPr>
                <w:rFonts w:ascii="Times New Roman" w:hAnsi="Times New Roman"/>
                <w:b w:val="0"/>
                <w:i w:val="0"/>
                <w:sz w:val="18"/>
              </w:rPr>
              <w:t>13.7</w:t>
            </w:r>
          </w:p>
        </w:tc>
      </w:tr>
      <w:tr>
        <w:tc>
          <w:tcPr>
            <w:tcW w:type="dxa" w:w="3009"/>
          </w:tcPr>
          <w:p>
            <w:r/>
            <w:r>
              <w:rPr>
                <w:rFonts w:ascii="Times New Roman" w:hAnsi="Times New Roman"/>
                <w:b w:val="0"/>
                <w:i w:val="0"/>
                <w:sz w:val="18"/>
              </w:rPr>
              <w:t>No declarado en el resumen</w:t>
            </w:r>
          </w:p>
        </w:tc>
        <w:tc>
          <w:tcPr>
            <w:tcW w:type="dxa" w:w="3009"/>
          </w:tcPr>
          <w:p>
            <w:r/>
            <w:r>
              <w:rPr>
                <w:rFonts w:ascii="Times New Roman" w:hAnsi="Times New Roman"/>
                <w:b w:val="0"/>
                <w:i w:val="0"/>
                <w:sz w:val="18"/>
              </w:rPr>
              <w:t>8</w:t>
            </w:r>
          </w:p>
        </w:tc>
        <w:tc>
          <w:tcPr>
            <w:tcW w:type="dxa" w:w="3009"/>
          </w:tcPr>
          <w:p>
            <w:r/>
            <w:r>
              <w:rPr>
                <w:rFonts w:ascii="Times New Roman" w:hAnsi="Times New Roman"/>
                <w:b w:val="0"/>
                <w:i w:val="0"/>
                <w:sz w:val="18"/>
              </w:rPr>
              <w:t>8.4</w:t>
            </w:r>
          </w:p>
        </w:tc>
      </w:tr>
      <w:tr>
        <w:tc>
          <w:tcPr>
            <w:tcW w:type="dxa" w:w="3009"/>
          </w:tcPr>
          <w:p>
            <w:r/>
            <w:r>
              <w:rPr>
                <w:rFonts w:ascii="Times New Roman" w:hAnsi="Times New Roman"/>
                <w:b w:val="0"/>
                <w:i w:val="0"/>
                <w:sz w:val="18"/>
              </w:rPr>
              <w:t>Ensayo aleatorizado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Ensayo no aleatorizado</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4.2</w:t>
            </w:r>
          </w:p>
        </w:tc>
      </w:tr>
      <w:tr>
        <w:tc>
          <w:tcPr>
            <w:tcW w:type="dxa" w:w="3009"/>
          </w:tcPr>
          <w:p>
            <w:r/>
            <w:r>
              <w:rPr>
                <w:rFonts w:ascii="Times New Roman" w:hAnsi="Times New Roman"/>
                <w:b w:val="0"/>
                <w:i w:val="0"/>
                <w:sz w:val="18"/>
              </w:rPr>
              <w:t>Cohorte retrospectiva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i w:val="0"/>
                <w:sz w:val="18"/>
              </w:rPr>
              <w:t>Diseños comparativos (total)</w:t>
            </w:r>
          </w:p>
        </w:tc>
        <w:tc>
          <w:tcPr>
            <w:tcW w:type="dxa" w:w="3009"/>
          </w:tcPr>
          <w:p>
            <w:r/>
            <w:r>
              <w:rPr>
                <w:rFonts w:ascii="Times New Roman" w:hAnsi="Times New Roman"/>
                <w:b w:val="0"/>
                <w:i w:val="0"/>
                <w:sz w:val="18"/>
              </w:rPr>
              <w:t>11</w:t>
            </w:r>
          </w:p>
        </w:tc>
        <w:tc>
          <w:tcPr>
            <w:tcW w:type="dxa" w:w="3009"/>
          </w:tcPr>
          <w:p>
            <w:r/>
            <w:r>
              <w:rPr>
                <w:rFonts w:ascii="Times New Roman" w:hAnsi="Times New Roman"/>
                <w:b w:val="0"/>
                <w:i w:val="0"/>
                <w:sz w:val="18"/>
              </w:rPr>
              <w:t>11.6</w:t>
            </w:r>
          </w:p>
        </w:tc>
      </w:tr>
      <w:tr>
        <w:tc>
          <w:tcPr>
            <w:tcW w:type="dxa" w:w="3009"/>
          </w:tcPr>
          <w:p>
            <w:r/>
            <w:r>
              <w:rPr>
                <w:rFonts w:ascii="Times New Roman" w:hAnsi="Times New Roman"/>
                <w:b/>
                <w:i w:val="0"/>
                <w:sz w:val="18"/>
              </w:rPr>
              <w:t>Procedencia declarada</w:t>
            </w:r>
          </w:p>
        </w:tc>
        <w:tc>
          <w:tcPr>
            <w:tcW w:type="dxa" w:w="3009"/>
          </w:tcPr>
          <w:p>
            <w:r/>
          </w:p>
        </w:tc>
        <w:tc>
          <w:tcPr>
            <w:tcW w:type="dxa" w:w="3009"/>
          </w:tcPr>
          <w:p>
            <w:r/>
          </w:p>
        </w:tc>
      </w:tr>
      <w:tr>
        <w:tc>
          <w:tcPr>
            <w:tcW w:type="dxa" w:w="3009"/>
          </w:tcPr>
          <w:p>
            <w:r/>
            <w:r>
              <w:rPr>
                <w:rFonts w:ascii="Times New Roman" w:hAnsi="Times New Roman"/>
                <w:b w:val="0"/>
                <w:i w:val="0"/>
                <w:sz w:val="18"/>
              </w:rPr>
              <w:t>Georgia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Polonia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Alemania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Estados Unidos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Francia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Rusia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Bélgica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España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India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Israel</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Otros 7 países, un estudio cada uno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No declarada en el resumen</w:t>
            </w:r>
          </w:p>
        </w:tc>
        <w:tc>
          <w:tcPr>
            <w:tcW w:type="dxa" w:w="3009"/>
          </w:tcPr>
          <w:p>
            <w:r/>
            <w:r>
              <w:rPr>
                <w:rFonts w:ascii="Times New Roman" w:hAnsi="Times New Roman"/>
                <w:b w:val="0"/>
                <w:i w:val="0"/>
                <w:sz w:val="18"/>
              </w:rPr>
              <w:t>58</w:t>
            </w:r>
          </w:p>
        </w:tc>
        <w:tc>
          <w:tcPr>
            <w:tcW w:type="dxa" w:w="3009"/>
          </w:tcPr>
          <w:p>
            <w:r/>
            <w:r>
              <w:rPr>
                <w:rFonts w:ascii="Times New Roman" w:hAnsi="Times New Roman"/>
                <w:b w:val="0"/>
                <w:i w:val="0"/>
                <w:sz w:val="18"/>
              </w:rPr>
              <w:t>61.1</w:t>
            </w:r>
          </w:p>
        </w:tc>
      </w:tr>
    </w:tbl>
    <w:p/>
    <w:p>
      <w:pPr>
        <w:spacing w:before="240" w:after="100" w:line="240" w:lineRule="auto"/>
      </w:pPr>
      <w:r>
        <w:rPr>
          <w:rFonts w:ascii="Times New Roman" w:hAnsi="Times New Roman"/>
          <w:b/>
          <w:i w:val="0"/>
          <w:sz w:val="18"/>
        </w:rPr>
        <w:t>Tabla 2.</w:t>
      </w:r>
      <w:r>
        <w:rPr>
          <w:rFonts w:ascii="Times New Roman" w:hAnsi="Times New Roman"/>
          <w:b w:val="0"/>
          <w:i w:val="0"/>
          <w:sz w:val="18"/>
        </w:rPr>
        <w:t xml:space="preserve"> Completitud del reporte en las variables críticas para la estratificación.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Variable</w:t>
            </w:r>
          </w:p>
        </w:tc>
        <w:tc>
          <w:tcPr>
            <w:tcW w:type="dxa" w:w="1805"/>
          </w:tcPr>
          <w:p>
            <w:r/>
            <w:r>
              <w:rPr>
                <w:rFonts w:ascii="Times New Roman" w:hAnsi="Times New Roman"/>
                <w:b/>
                <w:i w:val="0"/>
                <w:sz w:val="18"/>
              </w:rPr>
              <w:t>Declara (n)</w:t>
            </w:r>
          </w:p>
        </w:tc>
        <w:tc>
          <w:tcPr>
            <w:tcW w:type="dxa" w:w="1805"/>
          </w:tcPr>
          <w:p>
            <w:r/>
            <w:r>
              <w:rPr>
                <w:rFonts w:ascii="Times New Roman" w:hAnsi="Times New Roman"/>
                <w:b/>
                <w:i w:val="0"/>
                <w:sz w:val="18"/>
              </w:rPr>
              <w:t>Declara (%)</w:t>
            </w:r>
          </w:p>
        </w:tc>
        <w:tc>
          <w:tcPr>
            <w:tcW w:type="dxa" w:w="1805"/>
          </w:tcPr>
          <w:p>
            <w:r/>
            <w:r>
              <w:rPr>
                <w:rFonts w:ascii="Times New Roman" w:hAnsi="Times New Roman"/>
                <w:b/>
                <w:i w:val="0"/>
                <w:sz w:val="18"/>
              </w:rPr>
              <w:t>No declara (n)</w:t>
            </w:r>
          </w:p>
        </w:tc>
        <w:tc>
          <w:tcPr>
            <w:tcW w:type="dxa" w:w="1805"/>
          </w:tcPr>
          <w:p>
            <w:r/>
            <w:r>
              <w:rPr>
                <w:rFonts w:ascii="Times New Roman" w:hAnsi="Times New Roman"/>
                <w:b/>
                <w:i w:val="0"/>
                <w:sz w:val="18"/>
              </w:rPr>
              <w:t>No declara (%)</w:t>
            </w:r>
          </w:p>
        </w:tc>
      </w:tr>
      <w:tr>
        <w:tc>
          <w:tcPr>
            <w:tcW w:type="dxa" w:w="1805"/>
          </w:tcPr>
          <w:p>
            <w:r/>
            <w:r>
              <w:rPr>
                <w:rFonts w:ascii="Times New Roman" w:hAnsi="Times New Roman"/>
                <w:b w:val="0"/>
                <w:i w:val="0"/>
                <w:sz w:val="18"/>
              </w:rPr>
              <w:t>Clase de resistencia (MDR/XDR/PDR)</w:t>
            </w:r>
          </w:p>
        </w:tc>
        <w:tc>
          <w:tcPr>
            <w:tcW w:type="dxa" w:w="1805"/>
          </w:tcPr>
          <w:p>
            <w:r/>
            <w:r>
              <w:rPr>
                <w:rFonts w:ascii="Times New Roman" w:hAnsi="Times New Roman"/>
                <w:b w:val="0"/>
                <w:i w:val="0"/>
                <w:sz w:val="18"/>
              </w:rPr>
              <w:t>36</w:t>
            </w:r>
          </w:p>
        </w:tc>
        <w:tc>
          <w:tcPr>
            <w:tcW w:type="dxa" w:w="1805"/>
          </w:tcPr>
          <w:p>
            <w:r/>
            <w:r>
              <w:rPr>
                <w:rFonts w:ascii="Times New Roman" w:hAnsi="Times New Roman"/>
                <w:b w:val="0"/>
                <w:i w:val="0"/>
                <w:sz w:val="18"/>
              </w:rPr>
              <w:t>37.9</w:t>
            </w:r>
          </w:p>
        </w:tc>
        <w:tc>
          <w:tcPr>
            <w:tcW w:type="dxa" w:w="1805"/>
          </w:tcPr>
          <w:p>
            <w:r/>
            <w:r>
              <w:rPr>
                <w:rFonts w:ascii="Times New Roman" w:hAnsi="Times New Roman"/>
                <w:b w:val="0"/>
                <w:i w:val="0"/>
                <w:sz w:val="18"/>
              </w:rPr>
              <w:t>59</w:t>
            </w:r>
          </w:p>
        </w:tc>
        <w:tc>
          <w:tcPr>
            <w:tcW w:type="dxa" w:w="1805"/>
          </w:tcPr>
          <w:p>
            <w:r/>
            <w:r>
              <w:rPr>
                <w:rFonts w:ascii="Times New Roman" w:hAnsi="Times New Roman"/>
                <w:b w:val="0"/>
                <w:i w:val="0"/>
                <w:sz w:val="18"/>
              </w:rPr>
              <w:t>62.1</w:t>
            </w:r>
          </w:p>
        </w:tc>
      </w:tr>
      <w:tr>
        <w:tc>
          <w:tcPr>
            <w:tcW w:type="dxa" w:w="1805"/>
          </w:tcPr>
          <w:p>
            <w:r/>
            <w:r>
              <w:rPr>
                <w:rFonts w:ascii="Times New Roman" w:hAnsi="Times New Roman"/>
                <w:b w:val="0"/>
                <w:i w:val="0"/>
                <w:sz w:val="18"/>
              </w:rPr>
              <w:t xml:space="preserve">Ámbito de patógeno (solo </w:t>
            </w:r>
            <w:r>
              <w:rPr>
                <w:rFonts w:ascii="Times New Roman" w:hAnsi="Times New Roman"/>
                <w:b w:val="0"/>
                <w:i/>
                <w:sz w:val="18"/>
              </w:rPr>
              <w:t>P. aeruginosa</w:t>
            </w:r>
            <w:r>
              <w:rPr>
                <w:rFonts w:ascii="Times New Roman" w:hAnsi="Times New Roman"/>
                <w:b w:val="0"/>
                <w:i w:val="0"/>
                <w:sz w:val="18"/>
              </w:rPr>
              <w:t xml:space="preserve"> o mixto)</w:t>
            </w:r>
          </w:p>
        </w:tc>
        <w:tc>
          <w:tcPr>
            <w:tcW w:type="dxa" w:w="1805"/>
          </w:tcPr>
          <w:p>
            <w:r/>
            <w:r>
              <w:rPr>
                <w:rFonts w:ascii="Times New Roman" w:hAnsi="Times New Roman"/>
                <w:b w:val="0"/>
                <w:i w:val="0"/>
                <w:sz w:val="18"/>
              </w:rPr>
              <w:t>58</w:t>
            </w:r>
          </w:p>
        </w:tc>
        <w:tc>
          <w:tcPr>
            <w:tcW w:type="dxa" w:w="1805"/>
          </w:tcPr>
          <w:p>
            <w:r/>
            <w:r>
              <w:rPr>
                <w:rFonts w:ascii="Times New Roman" w:hAnsi="Times New Roman"/>
                <w:b w:val="0"/>
                <w:i w:val="0"/>
                <w:sz w:val="18"/>
              </w:rPr>
              <w:t>61.1</w:t>
            </w:r>
          </w:p>
        </w:tc>
        <w:tc>
          <w:tcPr>
            <w:tcW w:type="dxa" w:w="1805"/>
          </w:tcPr>
          <w:p>
            <w:r/>
            <w:r>
              <w:rPr>
                <w:rFonts w:ascii="Times New Roman" w:hAnsi="Times New Roman"/>
                <w:b w:val="0"/>
                <w:i w:val="0"/>
                <w:sz w:val="18"/>
              </w:rPr>
              <w:t>37</w:t>
            </w:r>
          </w:p>
        </w:tc>
        <w:tc>
          <w:tcPr>
            <w:tcW w:type="dxa" w:w="1805"/>
          </w:tcPr>
          <w:p>
            <w:r/>
            <w:r>
              <w:rPr>
                <w:rFonts w:ascii="Times New Roman" w:hAnsi="Times New Roman"/>
                <w:b w:val="0"/>
                <w:i w:val="0"/>
                <w:sz w:val="18"/>
              </w:rPr>
              <w:t>38.9</w:t>
            </w:r>
          </w:p>
        </w:tc>
      </w:tr>
      <w:tr>
        <w:tc>
          <w:tcPr>
            <w:tcW w:type="dxa" w:w="1805"/>
          </w:tcPr>
          <w:p>
            <w:r/>
            <w:r>
              <w:rPr>
                <w:rFonts w:ascii="Times New Roman" w:hAnsi="Times New Roman"/>
                <w:b w:val="0"/>
                <w:i w:val="0"/>
                <w:sz w:val="18"/>
              </w:rPr>
              <w:t>Vía de administración del fago</w:t>
            </w:r>
          </w:p>
        </w:tc>
        <w:tc>
          <w:tcPr>
            <w:tcW w:type="dxa" w:w="1805"/>
          </w:tcPr>
          <w:p>
            <w:r/>
            <w:r>
              <w:rPr>
                <w:rFonts w:ascii="Times New Roman" w:hAnsi="Times New Roman"/>
                <w:b w:val="0"/>
                <w:i w:val="0"/>
                <w:sz w:val="18"/>
              </w:rPr>
              <w:t>45</w:t>
            </w:r>
          </w:p>
        </w:tc>
        <w:tc>
          <w:tcPr>
            <w:tcW w:type="dxa" w:w="1805"/>
          </w:tcPr>
          <w:p>
            <w:r/>
            <w:r>
              <w:rPr>
                <w:rFonts w:ascii="Times New Roman" w:hAnsi="Times New Roman"/>
                <w:b w:val="0"/>
                <w:i w:val="0"/>
                <w:sz w:val="18"/>
              </w:rPr>
              <w:t>47.4</w:t>
            </w:r>
          </w:p>
        </w:tc>
        <w:tc>
          <w:tcPr>
            <w:tcW w:type="dxa" w:w="1805"/>
          </w:tcPr>
          <w:p>
            <w:r/>
            <w:r>
              <w:rPr>
                <w:rFonts w:ascii="Times New Roman" w:hAnsi="Times New Roman"/>
                <w:b w:val="0"/>
                <w:i w:val="0"/>
                <w:sz w:val="18"/>
              </w:rPr>
              <w:t>50</w:t>
            </w:r>
          </w:p>
        </w:tc>
        <w:tc>
          <w:tcPr>
            <w:tcW w:type="dxa" w:w="1805"/>
          </w:tcPr>
          <w:p>
            <w:r/>
            <w:r>
              <w:rPr>
                <w:rFonts w:ascii="Times New Roman" w:hAnsi="Times New Roman"/>
                <w:b w:val="0"/>
                <w:i w:val="0"/>
                <w:sz w:val="18"/>
              </w:rPr>
              <w:t>52.6</w:t>
            </w:r>
          </w:p>
        </w:tc>
      </w:tr>
      <w:tr>
        <w:tc>
          <w:tcPr>
            <w:tcW w:type="dxa" w:w="1805"/>
          </w:tcPr>
          <w:p>
            <w:r/>
            <w:r>
              <w:rPr>
                <w:rFonts w:ascii="Times New Roman" w:hAnsi="Times New Roman"/>
                <w:b w:val="0"/>
                <w:i w:val="0"/>
                <w:sz w:val="18"/>
              </w:rPr>
              <w:t>Modalidad (monoterapia o combinada)</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36.8</w:t>
            </w:r>
          </w:p>
        </w:tc>
        <w:tc>
          <w:tcPr>
            <w:tcW w:type="dxa" w:w="1805"/>
          </w:tcPr>
          <w:p>
            <w:r/>
            <w:r>
              <w:rPr>
                <w:rFonts w:ascii="Times New Roman" w:hAnsi="Times New Roman"/>
                <w:b w:val="0"/>
                <w:i w:val="0"/>
                <w:sz w:val="18"/>
              </w:rPr>
              <w:t>60</w:t>
            </w:r>
          </w:p>
        </w:tc>
        <w:tc>
          <w:tcPr>
            <w:tcW w:type="dxa" w:w="1805"/>
          </w:tcPr>
          <w:p>
            <w:r/>
            <w:r>
              <w:rPr>
                <w:rFonts w:ascii="Times New Roman" w:hAnsi="Times New Roman"/>
                <w:b w:val="0"/>
                <w:i w:val="0"/>
                <w:sz w:val="18"/>
              </w:rPr>
              <w:t>63.2</w:t>
            </w:r>
          </w:p>
        </w:tc>
      </w:tr>
      <w:tr>
        <w:tc>
          <w:tcPr>
            <w:tcW w:type="dxa" w:w="1805"/>
          </w:tcPr>
          <w:p>
            <w:r/>
            <w:r>
              <w:rPr>
                <w:rFonts w:ascii="Times New Roman" w:hAnsi="Times New Roman"/>
                <w:b w:val="0"/>
                <w:i w:val="0"/>
                <w:sz w:val="18"/>
              </w:rPr>
              <w:t>Criterio DTR (</w:t>
            </w:r>
            <w:r>
              <w:rPr>
                <w:rFonts w:ascii="Times New Roman" w:hAnsi="Times New Roman"/>
                <w:b w:val="0"/>
                <w:i/>
                <w:sz w:val="18"/>
              </w:rPr>
              <w:t>difficult-to-treat resistance</w:t>
            </w:r>
            <w:r>
              <w:rPr>
                <w:rFonts w:ascii="Times New Roman" w:hAnsi="Times New Roman"/>
                <w:b w:val="0"/>
                <w:i w:val="0"/>
                <w:sz w:val="18"/>
              </w:rPr>
              <w:t>)</w:t>
            </w:r>
          </w:p>
        </w:tc>
        <w:tc>
          <w:tcPr>
            <w:tcW w:type="dxa" w:w="1805"/>
          </w:tcPr>
          <w:p>
            <w:r/>
            <w:r>
              <w:rPr>
                <w:rFonts w:ascii="Times New Roman" w:hAnsi="Times New Roman"/>
                <w:b w:val="0"/>
                <w:i w:val="0"/>
                <w:sz w:val="18"/>
              </w:rPr>
              <w:t>2</w:t>
            </w:r>
          </w:p>
        </w:tc>
        <w:tc>
          <w:tcPr>
            <w:tcW w:type="dxa" w:w="1805"/>
          </w:tcPr>
          <w:p>
            <w:r/>
            <w:r>
              <w:rPr>
                <w:rFonts w:ascii="Times New Roman" w:hAnsi="Times New Roman"/>
                <w:b w:val="0"/>
                <w:i w:val="0"/>
                <w:sz w:val="18"/>
              </w:rPr>
              <w:t>2.1</w:t>
            </w:r>
          </w:p>
        </w:tc>
        <w:tc>
          <w:tcPr>
            <w:tcW w:type="dxa" w:w="1805"/>
          </w:tcPr>
          <w:p>
            <w:r/>
            <w:r>
              <w:rPr>
                <w:rFonts w:ascii="Times New Roman" w:hAnsi="Times New Roman"/>
                <w:b w:val="0"/>
                <w:i w:val="0"/>
                <w:sz w:val="18"/>
              </w:rPr>
              <w:t>93</w:t>
            </w:r>
          </w:p>
        </w:tc>
        <w:tc>
          <w:tcPr>
            <w:tcW w:type="dxa" w:w="1805"/>
          </w:tcPr>
          <w:p>
            <w:r/>
            <w:r>
              <w:rPr>
                <w:rFonts w:ascii="Times New Roman" w:hAnsi="Times New Roman"/>
                <w:b w:val="0"/>
                <w:i w:val="0"/>
                <w:sz w:val="18"/>
              </w:rPr>
              <w:t>97.9</w:t>
            </w:r>
          </w:p>
        </w:tc>
      </w:tr>
    </w:tbl>
    <w:p/>
    <w:p>
      <w:pPr>
        <w:spacing w:before="240" w:after="100" w:line="240" w:lineRule="auto"/>
      </w:pPr>
      <w:r>
        <w:rPr>
          <w:rFonts w:ascii="Times New Roman" w:hAnsi="Times New Roman"/>
          <w:b/>
          <w:i w:val="0"/>
          <w:sz w:val="18"/>
        </w:rPr>
        <w:t>Tabla 3.</w:t>
      </w:r>
      <w:r>
        <w:rPr>
          <w:rFonts w:ascii="Times New Roman" w:hAnsi="Times New Roman"/>
          <w:b w:val="0"/>
          <w:i w:val="0"/>
          <w:sz w:val="18"/>
        </w:rPr>
        <w:t xml:space="preserve"> Comparación entre los estudios con y sin texto completo obtenido.</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p>
        </w:tc>
        <w:tc>
          <w:tcPr>
            <w:tcW w:type="dxa" w:w="3009"/>
          </w:tcPr>
          <w:p>
            <w:r/>
            <w:r>
              <w:rPr>
                <w:rFonts w:ascii="Times New Roman" w:hAnsi="Times New Roman"/>
                <w:b/>
                <w:i w:val="0"/>
                <w:sz w:val="18"/>
              </w:rPr>
              <w:t>Con texto completo</w:t>
            </w:r>
          </w:p>
        </w:tc>
        <w:tc>
          <w:tcPr>
            <w:tcW w:type="dxa" w:w="3009"/>
          </w:tcPr>
          <w:p>
            <w:r/>
            <w:r>
              <w:rPr>
                <w:rFonts w:ascii="Times New Roman" w:hAnsi="Times New Roman"/>
                <w:b/>
                <w:i w:val="0"/>
                <w:sz w:val="18"/>
              </w:rPr>
              <w:t>Sin texto completo</w:t>
            </w:r>
          </w:p>
        </w:tc>
      </w:tr>
      <w:tr>
        <w:tc>
          <w:tcPr>
            <w:tcW w:type="dxa" w:w="3009"/>
          </w:tcPr>
          <w:p>
            <w:r/>
            <w:r>
              <w:rPr>
                <w:rFonts w:ascii="Times New Roman" w:hAnsi="Times New Roman"/>
                <w:b w:val="0"/>
                <w:i w:val="0"/>
                <w:sz w:val="18"/>
              </w:rPr>
              <w:t>Estudios</w:t>
            </w:r>
          </w:p>
        </w:tc>
        <w:tc>
          <w:tcPr>
            <w:tcW w:type="dxa" w:w="3009"/>
          </w:tcPr>
          <w:p>
            <w:r/>
            <w:r>
              <w:rPr>
                <w:rFonts w:ascii="Times New Roman" w:hAnsi="Times New Roman"/>
                <w:b w:val="0"/>
                <w:i w:val="0"/>
                <w:sz w:val="18"/>
              </w:rPr>
              <w:t>71</w:t>
            </w:r>
          </w:p>
        </w:tc>
        <w:tc>
          <w:tcPr>
            <w:tcW w:type="dxa" w:w="3009"/>
          </w:tcPr>
          <w:p>
            <w:r/>
            <w:r>
              <w:rPr>
                <w:rFonts w:ascii="Times New Roman" w:hAnsi="Times New Roman"/>
                <w:b w:val="0"/>
                <w:i w:val="0"/>
                <w:sz w:val="18"/>
              </w:rPr>
              <w:t>24</w:t>
            </w:r>
          </w:p>
        </w:tc>
      </w:tr>
      <w:tr>
        <w:tc>
          <w:tcPr>
            <w:tcW w:type="dxa" w:w="3009"/>
          </w:tcPr>
          <w:p>
            <w:r/>
            <w:r>
              <w:rPr>
                <w:rFonts w:ascii="Times New Roman" w:hAnsi="Times New Roman"/>
                <w:b w:val="0"/>
                <w:i w:val="0"/>
                <w:sz w:val="18"/>
              </w:rPr>
              <w:t>Diseños comparativos</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Comparativos (% de la columna)</w:t>
            </w:r>
          </w:p>
        </w:tc>
        <w:tc>
          <w:tcPr>
            <w:tcW w:type="dxa" w:w="3009"/>
          </w:tcPr>
          <w:p>
            <w:r/>
            <w:r>
              <w:rPr>
                <w:rFonts w:ascii="Times New Roman" w:hAnsi="Times New Roman"/>
                <w:b w:val="0"/>
                <w:i w:val="0"/>
                <w:sz w:val="18"/>
              </w:rPr>
              <w:t>7.0</w:t>
            </w:r>
          </w:p>
        </w:tc>
        <w:tc>
          <w:tcPr>
            <w:tcW w:type="dxa" w:w="3009"/>
          </w:tcPr>
          <w:p>
            <w:r/>
            <w:r>
              <w:rPr>
                <w:rFonts w:ascii="Times New Roman" w:hAnsi="Times New Roman"/>
                <w:b w:val="0"/>
                <w:i w:val="0"/>
                <w:sz w:val="18"/>
              </w:rPr>
              <w:t>25.0</w:t>
            </w:r>
          </w:p>
        </w:tc>
      </w:tr>
      <w:tr>
        <w:tc>
          <w:tcPr>
            <w:tcW w:type="dxa" w:w="3009"/>
          </w:tcPr>
          <w:p>
            <w:r/>
            <w:r>
              <w:rPr>
                <w:rFonts w:ascii="Times New Roman" w:hAnsi="Times New Roman"/>
                <w:b w:val="0"/>
                <w:i w:val="0"/>
                <w:sz w:val="18"/>
              </w:rPr>
              <w:t>Reportes de caso único</w:t>
            </w:r>
          </w:p>
        </w:tc>
        <w:tc>
          <w:tcPr>
            <w:tcW w:type="dxa" w:w="3009"/>
          </w:tcPr>
          <w:p>
            <w:r/>
            <w:r>
              <w:rPr>
                <w:rFonts w:ascii="Times New Roman" w:hAnsi="Times New Roman"/>
                <w:b w:val="0"/>
                <w:i w:val="0"/>
                <w:sz w:val="18"/>
              </w:rPr>
              <w:t>36</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Ensayos aleatorizados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w:t>
            </w:r>
          </w:p>
        </w:tc>
      </w:tr>
      <w:tr>
        <w:tc>
          <w:tcPr>
            <w:tcW w:type="dxa" w:w="3009"/>
          </w:tcPr>
          <w:p>
            <w:r/>
            <w:r>
              <w:rPr>
                <w:rFonts w:ascii="Times New Roman" w:hAnsi="Times New Roman"/>
                <w:b w:val="0"/>
                <w:i w:val="0"/>
                <w:sz w:val="18"/>
              </w:rPr>
              <w:t>Pacientes declarados (suma de n por brazo)</w:t>
            </w:r>
          </w:p>
        </w:tc>
        <w:tc>
          <w:tcPr>
            <w:tcW w:type="dxa" w:w="3009"/>
          </w:tcPr>
          <w:p>
            <w:r/>
            <w:r>
              <w:rPr>
                <w:rFonts w:ascii="Times New Roman" w:hAnsi="Times New Roman"/>
                <w:b w:val="0"/>
                <w:i w:val="0"/>
                <w:sz w:val="18"/>
              </w:rPr>
              <w:t>666</w:t>
            </w:r>
          </w:p>
        </w:tc>
        <w:tc>
          <w:tcPr>
            <w:tcW w:type="dxa" w:w="3009"/>
          </w:tcPr>
          <w:p>
            <w:r/>
            <w:r>
              <w:rPr>
                <w:rFonts w:ascii="Times New Roman" w:hAnsi="Times New Roman"/>
                <w:b w:val="0"/>
                <w:i w:val="0"/>
                <w:sz w:val="18"/>
              </w:rPr>
              <w:t>316</w:t>
            </w:r>
          </w:p>
        </w:tc>
      </w:tr>
    </w:tbl>
    <w:p/>
    <w:p>
      <w:pPr>
        <w:spacing w:before="240" w:after="100" w:line="240" w:lineRule="auto"/>
      </w:pPr>
      <w:r>
        <w:rPr>
          <w:rFonts w:ascii="Times New Roman" w:hAnsi="Times New Roman"/>
          <w:b/>
          <w:i w:val="0"/>
          <w:sz w:val="18"/>
        </w:rPr>
        <w:t>Tabla 4.</w:t>
      </w:r>
      <w:r>
        <w:rPr>
          <w:rFonts w:ascii="Times New Roman" w:hAnsi="Times New Roman"/>
          <w:b w:val="0"/>
          <w:i w:val="0"/>
          <w:sz w:val="18"/>
        </w:rPr>
        <w:t xml:space="preserve"> Motivos de exclusión por etapa, con el vocabulario cerrado.</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Código</w:t>
            </w:r>
          </w:p>
        </w:tc>
        <w:tc>
          <w:tcPr>
            <w:tcW w:type="dxa" w:w="1805"/>
          </w:tcPr>
          <w:p>
            <w:r/>
            <w:r>
              <w:rPr>
                <w:rFonts w:ascii="Times New Roman" w:hAnsi="Times New Roman"/>
                <w:b/>
                <w:i w:val="0"/>
                <w:sz w:val="18"/>
              </w:rPr>
              <w:t>Motivo</w:t>
            </w:r>
          </w:p>
        </w:tc>
        <w:tc>
          <w:tcPr>
            <w:tcW w:type="dxa" w:w="1805"/>
          </w:tcPr>
          <w:p>
            <w:r/>
            <w:r>
              <w:rPr>
                <w:rFonts w:ascii="Times New Roman" w:hAnsi="Times New Roman"/>
                <w:b/>
                <w:i w:val="0"/>
                <w:sz w:val="18"/>
              </w:rPr>
              <w:t>Por título</w:t>
            </w:r>
          </w:p>
        </w:tc>
        <w:tc>
          <w:tcPr>
            <w:tcW w:type="dxa" w:w="1805"/>
          </w:tcPr>
          <w:p>
            <w:r/>
            <w:r>
              <w:rPr>
                <w:rFonts w:ascii="Times New Roman" w:hAnsi="Times New Roman"/>
                <w:b/>
                <w:i w:val="0"/>
                <w:sz w:val="18"/>
              </w:rPr>
              <w:t>Por resumen</w:t>
            </w:r>
          </w:p>
        </w:tc>
        <w:tc>
          <w:tcPr>
            <w:tcW w:type="dxa" w:w="1805"/>
          </w:tcPr>
          <w:p>
            <w:r/>
            <w:r>
              <w:rPr>
                <w:rFonts w:ascii="Times New Roman" w:hAnsi="Times New Roman"/>
                <w:b/>
                <w:i w:val="0"/>
                <w:sz w:val="18"/>
              </w:rPr>
              <w:t>Total</w:t>
            </w:r>
          </w:p>
        </w:tc>
      </w:tr>
      <w:tr>
        <w:tc>
          <w:tcPr>
            <w:tcW w:type="dxa" w:w="1805"/>
          </w:tcPr>
          <w:p>
            <w:r/>
            <w:r>
              <w:rPr>
                <w:rFonts w:ascii="Times New Roman" w:hAnsi="Times New Roman"/>
                <w:b w:val="0"/>
                <w:i w:val="0"/>
                <w:sz w:val="18"/>
              </w:rPr>
              <w:t>ORG</w:t>
            </w:r>
          </w:p>
        </w:tc>
        <w:tc>
          <w:tcPr>
            <w:tcW w:type="dxa" w:w="1805"/>
          </w:tcPr>
          <w:p>
            <w:r/>
            <w:r>
              <w:rPr>
                <w:rFonts w:ascii="Times New Roman" w:hAnsi="Times New Roman"/>
                <w:b w:val="0"/>
                <w:i w:val="0"/>
                <w:sz w:val="18"/>
              </w:rPr>
              <w:t xml:space="preserve">Organismo distinto de </w:t>
            </w:r>
            <w:r>
              <w:rPr>
                <w:rFonts w:ascii="Times New Roman" w:hAnsi="Times New Roman"/>
                <w:b w:val="0"/>
                <w:i/>
                <w:sz w:val="18"/>
              </w:rPr>
              <w:t>P. aeruginosa</w:t>
            </w:r>
            <w:r>
              <w:rPr>
                <w:rFonts w:ascii="Times New Roman" w:hAnsi="Times New Roman"/>
                <w:b w:val="0"/>
                <w:i w:val="0"/>
                <w:sz w:val="18"/>
              </w:rPr>
              <w:t>, sin subgrupo separable</w:t>
            </w:r>
          </w:p>
        </w:tc>
        <w:tc>
          <w:tcPr>
            <w:tcW w:type="dxa" w:w="1805"/>
          </w:tcPr>
          <w:p>
            <w:r/>
            <w:r>
              <w:rPr>
                <w:rFonts w:ascii="Times New Roman" w:hAnsi="Times New Roman"/>
                <w:b w:val="0"/>
                <w:i w:val="0"/>
                <w:sz w:val="18"/>
              </w:rPr>
              <w:t>3022</w:t>
            </w:r>
          </w:p>
        </w:tc>
        <w:tc>
          <w:tcPr>
            <w:tcW w:type="dxa" w:w="1805"/>
          </w:tcPr>
          <w:p>
            <w:r/>
            <w:r>
              <w:rPr>
                <w:rFonts w:ascii="Times New Roman" w:hAnsi="Times New Roman"/>
                <w:b w:val="0"/>
                <w:i w:val="0"/>
                <w:sz w:val="18"/>
              </w:rPr>
              <w:t>65</w:t>
            </w:r>
          </w:p>
        </w:tc>
        <w:tc>
          <w:tcPr>
            <w:tcW w:type="dxa" w:w="1805"/>
          </w:tcPr>
          <w:p>
            <w:r/>
            <w:r>
              <w:rPr>
                <w:rFonts w:ascii="Times New Roman" w:hAnsi="Times New Roman"/>
                <w:b w:val="0"/>
                <w:i w:val="0"/>
                <w:sz w:val="18"/>
              </w:rPr>
              <w:t>3087</w:t>
            </w:r>
          </w:p>
        </w:tc>
      </w:tr>
      <w:tr>
        <w:tc>
          <w:tcPr>
            <w:tcW w:type="dxa" w:w="1805"/>
          </w:tcPr>
          <w:p>
            <w:r/>
            <w:r>
              <w:rPr>
                <w:rFonts w:ascii="Times New Roman" w:hAnsi="Times New Roman"/>
                <w:b w:val="0"/>
                <w:i w:val="0"/>
                <w:sz w:val="18"/>
              </w:rPr>
              <w:t>REV</w:t>
            </w:r>
          </w:p>
        </w:tc>
        <w:tc>
          <w:tcPr>
            <w:tcW w:type="dxa" w:w="1805"/>
          </w:tcPr>
          <w:p>
            <w:r/>
            <w:r>
              <w:rPr>
                <w:rFonts w:ascii="Times New Roman" w:hAnsi="Times New Roman"/>
                <w:b w:val="0"/>
                <w:i w:val="0"/>
                <w:sz w:val="18"/>
              </w:rPr>
              <w:t>Revision narrativa o comentario, sin datos primarios propios</w:t>
            </w:r>
          </w:p>
        </w:tc>
        <w:tc>
          <w:tcPr>
            <w:tcW w:type="dxa" w:w="1805"/>
          </w:tcPr>
          <w:p>
            <w:r/>
            <w:r>
              <w:rPr>
                <w:rFonts w:ascii="Times New Roman" w:hAnsi="Times New Roman"/>
                <w:b w:val="0"/>
                <w:i w:val="0"/>
                <w:sz w:val="18"/>
              </w:rPr>
              <w:t>2803</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2867</w:t>
            </w:r>
          </w:p>
        </w:tc>
      </w:tr>
      <w:tr>
        <w:tc>
          <w:tcPr>
            <w:tcW w:type="dxa" w:w="1805"/>
          </w:tcPr>
          <w:p>
            <w:r/>
            <w:r>
              <w:rPr>
                <w:rFonts w:ascii="Times New Roman" w:hAnsi="Times New Roman"/>
                <w:b w:val="0"/>
                <w:i w:val="0"/>
                <w:sz w:val="18"/>
              </w:rPr>
              <w:t>SEC</w:t>
            </w:r>
          </w:p>
        </w:tc>
        <w:tc>
          <w:tcPr>
            <w:tcW w:type="dxa" w:w="1805"/>
          </w:tcPr>
          <w:p>
            <w:r/>
            <w:r>
              <w:rPr>
                <w:rFonts w:ascii="Times New Roman" w:hAnsi="Times New Roman"/>
                <w:b w:val="0"/>
                <w:i w:val="0"/>
                <w:sz w:val="18"/>
              </w:rPr>
              <w:t>Sintesis secundaria (revision sistematica o scoping)</w:t>
            </w:r>
          </w:p>
        </w:tc>
        <w:tc>
          <w:tcPr>
            <w:tcW w:type="dxa" w:w="1805"/>
          </w:tcPr>
          <w:p>
            <w:r/>
            <w:r>
              <w:rPr>
                <w:rFonts w:ascii="Times New Roman" w:hAnsi="Times New Roman"/>
                <w:b w:val="0"/>
                <w:i w:val="0"/>
                <w:sz w:val="18"/>
              </w:rPr>
              <w:t>84</w:t>
            </w:r>
          </w:p>
        </w:tc>
        <w:tc>
          <w:tcPr>
            <w:tcW w:type="dxa" w:w="1805"/>
          </w:tcPr>
          <w:p>
            <w:r/>
            <w:r>
              <w:rPr>
                <w:rFonts w:ascii="Times New Roman" w:hAnsi="Times New Roman"/>
                <w:b w:val="0"/>
                <w:i w:val="0"/>
                <w:sz w:val="18"/>
              </w:rPr>
              <w:t>5</w:t>
            </w:r>
          </w:p>
        </w:tc>
        <w:tc>
          <w:tcPr>
            <w:tcW w:type="dxa" w:w="1805"/>
          </w:tcPr>
          <w:p>
            <w:r/>
            <w:r>
              <w:rPr>
                <w:rFonts w:ascii="Times New Roman" w:hAnsi="Times New Roman"/>
                <w:b w:val="0"/>
                <w:i w:val="0"/>
                <w:sz w:val="18"/>
              </w:rPr>
              <w:t>89</w:t>
            </w:r>
          </w:p>
        </w:tc>
      </w:tr>
      <w:tr>
        <w:tc>
          <w:tcPr>
            <w:tcW w:type="dxa" w:w="1805"/>
          </w:tcPr>
          <w:p>
            <w:r/>
            <w:r>
              <w:rPr>
                <w:rFonts w:ascii="Times New Roman" w:hAnsi="Times New Roman"/>
                <w:b w:val="0"/>
                <w:i w:val="0"/>
                <w:sz w:val="18"/>
              </w:rPr>
              <w:t>LAB</w:t>
            </w:r>
          </w:p>
        </w:tc>
        <w:tc>
          <w:tcPr>
            <w:tcW w:type="dxa" w:w="1805"/>
          </w:tcPr>
          <w:p>
            <w:r/>
            <w:r>
              <w:rPr>
                <w:rFonts w:ascii="Times New Roman" w:hAnsi="Times New Roman"/>
                <w:b w:val="0"/>
                <w:i w:val="0"/>
                <w:sz w:val="18"/>
              </w:rPr>
              <w:t>Trabajo de laboratorio, preclinico o de modelizacion; sin pacientes tratados</w:t>
            </w:r>
          </w:p>
        </w:tc>
        <w:tc>
          <w:tcPr>
            <w:tcW w:type="dxa" w:w="1805"/>
          </w:tcPr>
          <w:p>
            <w:r/>
            <w:r>
              <w:rPr>
                <w:rFonts w:ascii="Times New Roman" w:hAnsi="Times New Roman"/>
                <w:b w:val="0"/>
                <w:i w:val="0"/>
                <w:sz w:val="18"/>
              </w:rPr>
              <w:t>4060</w:t>
            </w:r>
          </w:p>
        </w:tc>
        <w:tc>
          <w:tcPr>
            <w:tcW w:type="dxa" w:w="1805"/>
          </w:tcPr>
          <w:p>
            <w:r/>
            <w:r>
              <w:rPr>
                <w:rFonts w:ascii="Times New Roman" w:hAnsi="Times New Roman"/>
                <w:b w:val="0"/>
                <w:i w:val="0"/>
                <w:sz w:val="18"/>
              </w:rPr>
              <w:t>18</w:t>
            </w:r>
          </w:p>
        </w:tc>
        <w:tc>
          <w:tcPr>
            <w:tcW w:type="dxa" w:w="1805"/>
          </w:tcPr>
          <w:p>
            <w:r/>
            <w:r>
              <w:rPr>
                <w:rFonts w:ascii="Times New Roman" w:hAnsi="Times New Roman"/>
                <w:b w:val="0"/>
                <w:i w:val="0"/>
                <w:sz w:val="18"/>
              </w:rPr>
              <w:t>4078</w:t>
            </w:r>
          </w:p>
        </w:tc>
      </w:tr>
      <w:tr>
        <w:tc>
          <w:tcPr>
            <w:tcW w:type="dxa" w:w="1805"/>
          </w:tcPr>
          <w:p>
            <w:r/>
            <w:r>
              <w:rPr>
                <w:rFonts w:ascii="Times New Roman" w:hAnsi="Times New Roman"/>
                <w:b w:val="0"/>
                <w:i w:val="0"/>
                <w:sz w:val="18"/>
              </w:rPr>
              <w:t>VET</w:t>
            </w:r>
          </w:p>
        </w:tc>
        <w:tc>
          <w:tcPr>
            <w:tcW w:type="dxa" w:w="1805"/>
          </w:tcPr>
          <w:p>
            <w:r/>
            <w:r>
              <w:rPr>
                <w:rFonts w:ascii="Times New Roman" w:hAnsi="Times New Roman"/>
                <w:b w:val="0"/>
                <w:i w:val="0"/>
                <w:sz w:val="18"/>
              </w:rPr>
              <w:t>Aislados o infeccion veterinaria, no humana</w:t>
            </w:r>
          </w:p>
        </w:tc>
        <w:tc>
          <w:tcPr>
            <w:tcW w:type="dxa" w:w="1805"/>
          </w:tcPr>
          <w:p>
            <w:r/>
            <w:r>
              <w:rPr>
                <w:rFonts w:ascii="Times New Roman" w:hAnsi="Times New Roman"/>
                <w:b w:val="0"/>
                <w:i w:val="0"/>
                <w:sz w:val="18"/>
              </w:rPr>
              <w:t>834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834</w:t>
            </w:r>
          </w:p>
        </w:tc>
      </w:tr>
      <w:tr>
        <w:tc>
          <w:tcPr>
            <w:tcW w:type="dxa" w:w="1805"/>
          </w:tcPr>
          <w:p>
            <w:r/>
            <w:r>
              <w:rPr>
                <w:rFonts w:ascii="Times New Roman" w:hAnsi="Times New Roman"/>
                <w:b w:val="0"/>
                <w:i w:val="0"/>
                <w:sz w:val="18"/>
              </w:rPr>
              <w:t>OFF</w:t>
            </w:r>
          </w:p>
        </w:tc>
        <w:tc>
          <w:tcPr>
            <w:tcW w:type="dxa" w:w="1805"/>
          </w:tcPr>
          <w:p>
            <w:r/>
            <w:r>
              <w:rPr>
                <w:rFonts w:ascii="Times New Roman" w:hAnsi="Times New Roman"/>
                <w:b w:val="0"/>
                <w:i w:val="0"/>
                <w:sz w:val="18"/>
              </w:rPr>
              <w:t>No evalua fagoterapia en pacientes (encuesta, epidemiologia, prensa, otra terapia)</w:t>
            </w:r>
          </w:p>
        </w:tc>
        <w:tc>
          <w:tcPr>
            <w:tcW w:type="dxa" w:w="1805"/>
          </w:tcPr>
          <w:p>
            <w:r/>
            <w:r>
              <w:rPr>
                <w:rFonts w:ascii="Times New Roman" w:hAnsi="Times New Roman"/>
                <w:b w:val="0"/>
                <w:i w:val="0"/>
                <w:sz w:val="18"/>
              </w:rPr>
              <w:t>2631</w:t>
            </w:r>
          </w:p>
        </w:tc>
        <w:tc>
          <w:tcPr>
            <w:tcW w:type="dxa" w:w="1805"/>
          </w:tcPr>
          <w:p>
            <w:r/>
            <w:r>
              <w:rPr>
                <w:rFonts w:ascii="Times New Roman" w:hAnsi="Times New Roman"/>
                <w:b w:val="0"/>
                <w:i w:val="0"/>
                <w:sz w:val="18"/>
              </w:rPr>
              <w:t>40</w:t>
            </w:r>
          </w:p>
        </w:tc>
        <w:tc>
          <w:tcPr>
            <w:tcW w:type="dxa" w:w="1805"/>
          </w:tcPr>
          <w:p>
            <w:r/>
            <w:r>
              <w:rPr>
                <w:rFonts w:ascii="Times New Roman" w:hAnsi="Times New Roman"/>
                <w:b w:val="0"/>
                <w:i w:val="0"/>
                <w:sz w:val="18"/>
              </w:rPr>
              <w:t>2671</w:t>
            </w:r>
          </w:p>
        </w:tc>
      </w:tr>
      <w:tr>
        <w:tc>
          <w:tcPr>
            <w:tcW w:type="dxa" w:w="1805"/>
          </w:tcPr>
          <w:p>
            <w:r/>
            <w:r>
              <w:rPr>
                <w:rFonts w:ascii="Times New Roman" w:hAnsi="Times New Roman"/>
                <w:b w:val="0"/>
                <w:i w:val="0"/>
                <w:sz w:val="18"/>
              </w:rPr>
              <w:t>IDI</w:t>
            </w:r>
          </w:p>
        </w:tc>
        <w:tc>
          <w:tcPr>
            <w:tcW w:type="dxa" w:w="1805"/>
          </w:tcPr>
          <w:p>
            <w:r/>
            <w:r>
              <w:rPr>
                <w:rFonts w:ascii="Times New Roman" w:hAnsi="Times New Roman"/>
                <w:b w:val="0"/>
                <w:i w:val="0"/>
                <w:sz w:val="18"/>
              </w:rPr>
              <w:t>Informe no redactado en inglés ni en español (enmienda)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35</w:t>
            </w:r>
          </w:p>
        </w:tc>
      </w:tr>
      <w:tr>
        <w:tc>
          <w:tcPr>
            <w:tcW w:type="dxa" w:w="1805"/>
          </w:tcPr>
          <w:p>
            <w:r/>
            <w:r>
              <w:rPr>
                <w:rFonts w:ascii="Times New Roman" w:hAnsi="Times New Roman"/>
                <w:b w:val="0"/>
                <w:i w:val="0"/>
                <w:sz w:val="18"/>
              </w:rPr>
              <w:t>PRO</w:t>
            </w:r>
          </w:p>
        </w:tc>
        <w:tc>
          <w:tcPr>
            <w:tcW w:type="dxa" w:w="1805"/>
          </w:tcPr>
          <w:p>
            <w:r/>
            <w:r>
              <w:rPr>
                <w:rFonts w:ascii="Times New Roman" w:hAnsi="Times New Roman"/>
                <w:b w:val="0"/>
                <w:i w:val="0"/>
                <w:sz w:val="18"/>
              </w:rPr>
              <w:t>Protocolo de estudio: declara lo que se hara, sin resultados</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INT</w:t>
            </w:r>
          </w:p>
        </w:tc>
        <w:tc>
          <w:tcPr>
            <w:tcW w:type="dxa" w:w="1805"/>
          </w:tcPr>
          <w:p>
            <w:r/>
            <w:r>
              <w:rPr>
                <w:rFonts w:ascii="Times New Roman" w:hAnsi="Times New Roman"/>
                <w:b w:val="0"/>
                <w:i w:val="0"/>
                <w:sz w:val="18"/>
              </w:rPr>
              <w:t>La intervencion no es un bacteriofago (endolisina u otro derivado)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NOREC</w:t>
            </w:r>
          </w:p>
        </w:tc>
        <w:tc>
          <w:tcPr>
            <w:tcW w:type="dxa" w:w="1805"/>
          </w:tcPr>
          <w:p>
            <w:r/>
            <w:r>
              <w:rPr>
                <w:rFonts w:ascii="Times New Roman" w:hAnsi="Times New Roman"/>
                <w:b w:val="0"/>
                <w:i w:val="0"/>
                <w:sz w:val="18"/>
              </w:rPr>
              <w:t>Texto completo no recuperado: no se pudo verificar contra el articulo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p>
        </w:tc>
        <w:tc>
          <w:tcPr>
            <w:tcW w:type="dxa" w:w="1805"/>
          </w:tcPr>
          <w:p>
            <w:r/>
            <w:r>
              <w:rPr>
                <w:rFonts w:ascii="Times New Roman" w:hAnsi="Times New Roman"/>
                <w:b/>
                <w:i w:val="0"/>
                <w:sz w:val="18"/>
              </w:rPr>
              <w:t>Total</w:t>
            </w:r>
          </w:p>
        </w:tc>
        <w:tc>
          <w:tcPr>
            <w:tcW w:type="dxa" w:w="1805"/>
          </w:tcPr>
          <w:p>
            <w:r/>
            <w:r>
              <w:rPr>
                <w:rFonts w:ascii="Times New Roman" w:hAnsi="Times New Roman"/>
                <w:b w:val="0"/>
                <w:i w:val="0"/>
                <w:sz w:val="18"/>
              </w:rPr>
              <w:t>13434</w:t>
            </w:r>
          </w:p>
        </w:tc>
        <w:tc>
          <w:tcPr>
            <w:tcW w:type="dxa" w:w="1805"/>
          </w:tcPr>
          <w:p>
            <w:r/>
            <w:r>
              <w:rPr>
                <w:rFonts w:ascii="Times New Roman" w:hAnsi="Times New Roman"/>
                <w:b w:val="0"/>
                <w:i w:val="0"/>
                <w:sz w:val="18"/>
              </w:rPr>
              <w:t>227</w:t>
            </w:r>
          </w:p>
        </w:tc>
        <w:tc>
          <w:tcPr>
            <w:tcW w:type="dxa" w:w="1805"/>
          </w:tcPr>
          <w:p>
            <w:r/>
            <w:r>
              <w:rPr>
                <w:rFonts w:ascii="Times New Roman" w:hAnsi="Times New Roman"/>
                <w:b w:val="0"/>
                <w:i w:val="0"/>
                <w:sz w:val="18"/>
              </w:rPr>
              <w:t>13661</w:t>
            </w:r>
          </w:p>
        </w:tc>
      </w:tr>
    </w:tbl>
    <w:p/>
    <w:p>
      <w:pPr>
        <w:spacing w:before="240" w:after="100" w:line="240" w:lineRule="auto"/>
      </w:pPr>
      <w:r>
        <w:rPr>
          <w:rFonts w:ascii="Times New Roman" w:hAnsi="Times New Roman"/>
          <w:b/>
          <w:i w:val="0"/>
          <w:sz w:val="18"/>
        </w:rPr>
        <w:t>Tabla 5.</w:t>
      </w:r>
      <w:r>
        <w:rPr>
          <w:rFonts w:ascii="Times New Roman" w:hAnsi="Times New Roman"/>
          <w:b w:val="0"/>
          <w:i w:val="0"/>
          <w:sz w:val="18"/>
        </w:rPr>
        <w:t xml:space="preserve"> Completitud de reporte de los cinco desenlaces declarados, sobre la extracción adjudicada (n = 103 brazos).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Desenlace</w:t>
            </w:r>
          </w:p>
        </w:tc>
        <w:tc>
          <w:tcPr>
            <w:tcW w:type="dxa" w:w="1805"/>
          </w:tcPr>
          <w:p>
            <w:r/>
            <w:r>
              <w:rPr>
                <w:rFonts w:ascii="Times New Roman" w:hAnsi="Times New Roman"/>
                <w:b/>
                <w:i w:val="0"/>
                <w:sz w:val="18"/>
              </w:rPr>
              <w:t>Con numerador y denominador</w:t>
            </w:r>
          </w:p>
        </w:tc>
        <w:tc>
          <w:tcPr>
            <w:tcW w:type="dxa" w:w="1805"/>
          </w:tcPr>
          <w:p>
            <w:r/>
            <w:r>
              <w:rPr>
                <w:rFonts w:ascii="Times New Roman" w:hAnsi="Times New Roman"/>
                <w:b/>
                <w:i w:val="0"/>
                <w:sz w:val="18"/>
              </w:rPr>
              <w:t>% de los 103 brazos</w:t>
            </w:r>
          </w:p>
        </w:tc>
        <w:tc>
          <w:tcPr>
            <w:tcW w:type="dxa" w:w="1805"/>
          </w:tcPr>
          <w:p>
            <w:r/>
            <w:r>
              <w:rPr>
                <w:rFonts w:ascii="Times New Roman" w:hAnsi="Times New Roman"/>
                <w:b/>
                <w:i w:val="0"/>
                <w:sz w:val="18"/>
              </w:rPr>
              <w:t>% de los 79 con texto completo</w:t>
            </w:r>
          </w:p>
        </w:tc>
        <w:tc>
          <w:tcPr>
            <w:tcW w:type="dxa" w:w="1805"/>
          </w:tcPr>
          <w:p>
            <w:r/>
            <w:r>
              <w:rPr>
                <w:rFonts w:ascii="Times New Roman" w:hAnsi="Times New Roman"/>
                <w:b/>
                <w:i w:val="0"/>
                <w:sz w:val="18"/>
              </w:rPr>
              <w:t>% con doble lectura</w:t>
            </w:r>
          </w:p>
        </w:tc>
      </w:tr>
      <w:tr>
        <w:tc>
          <w:tcPr>
            <w:tcW w:type="dxa" w:w="1805"/>
          </w:tcPr>
          <w:p>
            <w:r/>
            <w:r>
              <w:rPr>
                <w:rFonts w:ascii="Times New Roman" w:hAnsi="Times New Roman"/>
                <w:b w:val="0"/>
                <w:i w:val="0"/>
                <w:sz w:val="18"/>
              </w:rPr>
              <w:t>Éxito clínico</w:t>
            </w:r>
          </w:p>
        </w:tc>
        <w:tc>
          <w:tcPr>
            <w:tcW w:type="dxa" w:w="1805"/>
          </w:tcPr>
          <w:p>
            <w:r/>
            <w:r>
              <w:rPr>
                <w:rFonts w:ascii="Times New Roman" w:hAnsi="Times New Roman"/>
                <w:b w:val="0"/>
                <w:i w:val="0"/>
                <w:sz w:val="18"/>
              </w:rPr>
              <w:t>71</w:t>
            </w:r>
          </w:p>
        </w:tc>
        <w:tc>
          <w:tcPr>
            <w:tcW w:type="dxa" w:w="1805"/>
          </w:tcPr>
          <w:p>
            <w:r/>
            <w:r>
              <w:rPr>
                <w:rFonts w:ascii="Times New Roman" w:hAnsi="Times New Roman"/>
                <w:b w:val="0"/>
                <w:i w:val="0"/>
                <w:sz w:val="18"/>
              </w:rPr>
              <w:t>68.9</w:t>
            </w:r>
          </w:p>
        </w:tc>
        <w:tc>
          <w:tcPr>
            <w:tcW w:type="dxa" w:w="1805"/>
          </w:tcPr>
          <w:p>
            <w:r/>
            <w:r>
              <w:rPr>
                <w:rFonts w:ascii="Times New Roman" w:hAnsi="Times New Roman"/>
                <w:b w:val="0"/>
                <w:i w:val="0"/>
                <w:sz w:val="18"/>
              </w:rPr>
              <w:t>87.3</w:t>
            </w:r>
          </w:p>
        </w:tc>
        <w:tc>
          <w:tcPr>
            <w:tcW w:type="dxa" w:w="1805"/>
          </w:tcPr>
          <w:p>
            <w:r/>
            <w:r>
              <w:rPr>
                <w:rFonts w:ascii="Times New Roman" w:hAnsi="Times New Roman"/>
                <w:b w:val="0"/>
                <w:i w:val="0"/>
                <w:sz w:val="18"/>
              </w:rPr>
              <w:t>97.2</w:t>
            </w:r>
          </w:p>
        </w:tc>
      </w:tr>
      <w:tr>
        <w:tc>
          <w:tcPr>
            <w:tcW w:type="dxa" w:w="1805"/>
          </w:tcPr>
          <w:p>
            <w:r/>
            <w:r>
              <w:rPr>
                <w:rFonts w:ascii="Times New Roman" w:hAnsi="Times New Roman"/>
                <w:b w:val="0"/>
                <w:i w:val="0"/>
                <w:sz w:val="18"/>
              </w:rPr>
              <w:t>Erradicación microbiológica</w:t>
            </w:r>
          </w:p>
        </w:tc>
        <w:tc>
          <w:tcPr>
            <w:tcW w:type="dxa" w:w="1805"/>
          </w:tcPr>
          <w:p>
            <w:r/>
            <w:r>
              <w:rPr>
                <w:rFonts w:ascii="Times New Roman" w:hAnsi="Times New Roman"/>
                <w:b w:val="0"/>
                <w:i w:val="0"/>
                <w:sz w:val="18"/>
              </w:rPr>
              <w:t>56</w:t>
            </w:r>
          </w:p>
        </w:tc>
        <w:tc>
          <w:tcPr>
            <w:tcW w:type="dxa" w:w="1805"/>
          </w:tcPr>
          <w:p>
            <w:r/>
            <w:r>
              <w:rPr>
                <w:rFonts w:ascii="Times New Roman" w:hAnsi="Times New Roman"/>
                <w:b w:val="0"/>
                <w:i w:val="0"/>
                <w:sz w:val="18"/>
              </w:rPr>
              <w:t>54.4</w:t>
            </w:r>
          </w:p>
        </w:tc>
        <w:tc>
          <w:tcPr>
            <w:tcW w:type="dxa" w:w="1805"/>
          </w:tcPr>
          <w:p>
            <w:r/>
            <w:r>
              <w:rPr>
                <w:rFonts w:ascii="Times New Roman" w:hAnsi="Times New Roman"/>
                <w:b w:val="0"/>
                <w:i w:val="0"/>
                <w:sz w:val="18"/>
              </w:rPr>
              <w:t>69.6</w:t>
            </w:r>
          </w:p>
        </w:tc>
        <w:tc>
          <w:tcPr>
            <w:tcW w:type="dxa" w:w="1805"/>
          </w:tcPr>
          <w:p>
            <w:r/>
            <w:r>
              <w:rPr>
                <w:rFonts w:ascii="Times New Roman" w:hAnsi="Times New Roman"/>
                <w:b w:val="0"/>
                <w:i w:val="0"/>
                <w:sz w:val="18"/>
              </w:rPr>
              <w:t>98.2</w:t>
            </w:r>
          </w:p>
        </w:tc>
      </w:tr>
      <w:tr>
        <w:tc>
          <w:tcPr>
            <w:tcW w:type="dxa" w:w="1805"/>
          </w:tcPr>
          <w:p>
            <w:r/>
            <w:r>
              <w:rPr>
                <w:rFonts w:ascii="Times New Roman" w:hAnsi="Times New Roman"/>
                <w:b w:val="0"/>
                <w:i w:val="0"/>
                <w:sz w:val="18"/>
              </w:rPr>
              <w:t>Mortalidad</w:t>
            </w:r>
          </w:p>
        </w:tc>
        <w:tc>
          <w:tcPr>
            <w:tcW w:type="dxa" w:w="1805"/>
          </w:tcPr>
          <w:p>
            <w:r/>
            <w:r>
              <w:rPr>
                <w:rFonts w:ascii="Times New Roman" w:hAnsi="Times New Roman"/>
                <w:b w:val="0"/>
                <w:i w:val="0"/>
                <w:sz w:val="18"/>
              </w:rPr>
              <w:t>75</w:t>
            </w:r>
          </w:p>
        </w:tc>
        <w:tc>
          <w:tcPr>
            <w:tcW w:type="dxa" w:w="1805"/>
          </w:tcPr>
          <w:p>
            <w:r/>
            <w:r>
              <w:rPr>
                <w:rFonts w:ascii="Times New Roman" w:hAnsi="Times New Roman"/>
                <w:b w:val="0"/>
                <w:i w:val="0"/>
                <w:sz w:val="18"/>
              </w:rPr>
              <w:t>72.8</w:t>
            </w:r>
          </w:p>
        </w:tc>
        <w:tc>
          <w:tcPr>
            <w:tcW w:type="dxa" w:w="1805"/>
          </w:tcPr>
          <w:p>
            <w:r/>
            <w:r>
              <w:rPr>
                <w:rFonts w:ascii="Times New Roman" w:hAnsi="Times New Roman"/>
                <w:b w:val="0"/>
                <w:i w:val="0"/>
                <w:sz w:val="18"/>
              </w:rPr>
              <w:t>89.9</w:t>
            </w:r>
          </w:p>
        </w:tc>
        <w:tc>
          <w:tcPr>
            <w:tcW w:type="dxa" w:w="1805"/>
          </w:tcPr>
          <w:p>
            <w:r/>
            <w:r>
              <w:rPr>
                <w:rFonts w:ascii="Times New Roman" w:hAnsi="Times New Roman"/>
                <w:b w:val="0"/>
                <w:i w:val="0"/>
                <w:sz w:val="18"/>
              </w:rPr>
              <w:t>97.3</w:t>
            </w:r>
          </w:p>
        </w:tc>
      </w:tr>
      <w:tr>
        <w:tc>
          <w:tcPr>
            <w:tcW w:type="dxa" w:w="1805"/>
          </w:tcPr>
          <w:p>
            <w:r/>
            <w:r>
              <w:rPr>
                <w:rFonts w:ascii="Times New Roman" w:hAnsi="Times New Roman"/>
                <w:b w:val="0"/>
                <w:i w:val="0"/>
                <w:sz w:val="18"/>
              </w:rPr>
              <w:t>Eventos adversos</w:t>
            </w:r>
          </w:p>
        </w:tc>
        <w:tc>
          <w:tcPr>
            <w:tcW w:type="dxa" w:w="1805"/>
          </w:tcPr>
          <w:p>
            <w:r/>
            <w:r>
              <w:rPr>
                <w:rFonts w:ascii="Times New Roman" w:hAnsi="Times New Roman"/>
                <w:b w:val="0"/>
                <w:i w:val="0"/>
                <w:sz w:val="18"/>
              </w:rPr>
              <w:t>80</w:t>
            </w:r>
          </w:p>
        </w:tc>
        <w:tc>
          <w:tcPr>
            <w:tcW w:type="dxa" w:w="1805"/>
          </w:tcPr>
          <w:p>
            <w:r/>
            <w:r>
              <w:rPr>
                <w:rFonts w:ascii="Times New Roman" w:hAnsi="Times New Roman"/>
                <w:b w:val="0"/>
                <w:i w:val="0"/>
                <w:sz w:val="18"/>
              </w:rPr>
              <w:t>77.7</w:t>
            </w:r>
          </w:p>
        </w:tc>
        <w:tc>
          <w:tcPr>
            <w:tcW w:type="dxa" w:w="1805"/>
          </w:tcPr>
          <w:p>
            <w:r/>
            <w:r>
              <w:rPr>
                <w:rFonts w:ascii="Times New Roman" w:hAnsi="Times New Roman"/>
                <w:b w:val="0"/>
                <w:i w:val="0"/>
                <w:sz w:val="18"/>
              </w:rPr>
              <w:t>88.6</w:t>
            </w:r>
          </w:p>
        </w:tc>
        <w:tc>
          <w:tcPr>
            <w:tcW w:type="dxa" w:w="1805"/>
          </w:tcPr>
          <w:p>
            <w:r/>
            <w:r>
              <w:rPr>
                <w:rFonts w:ascii="Times New Roman" w:hAnsi="Times New Roman"/>
                <w:b w:val="0"/>
                <w:i w:val="0"/>
                <w:sz w:val="18"/>
              </w:rPr>
              <w:t>98.8</w:t>
            </w:r>
          </w:p>
        </w:tc>
      </w:tr>
      <w:tr>
        <w:tc>
          <w:tcPr>
            <w:tcW w:type="dxa" w:w="1805"/>
          </w:tcPr>
          <w:p>
            <w:r/>
            <w:r>
              <w:rPr>
                <w:rFonts w:ascii="Times New Roman" w:hAnsi="Times New Roman"/>
                <w:b w:val="0"/>
                <w:i w:val="0"/>
                <w:sz w:val="18"/>
              </w:rPr>
              <w:t>Emergencia de resistencia al fago</w:t>
            </w:r>
          </w:p>
        </w:tc>
        <w:tc>
          <w:tcPr>
            <w:tcW w:type="dxa" w:w="1805"/>
          </w:tcPr>
          <w:p>
            <w:r/>
            <w:r>
              <w:rPr>
                <w:rFonts w:ascii="Times New Roman" w:hAnsi="Times New Roman"/>
                <w:b w:val="0"/>
                <w:i w:val="0"/>
                <w:sz w:val="18"/>
              </w:rPr>
              <w:t>28</w:t>
            </w:r>
          </w:p>
        </w:tc>
        <w:tc>
          <w:tcPr>
            <w:tcW w:type="dxa" w:w="1805"/>
          </w:tcPr>
          <w:p>
            <w:r/>
            <w:r>
              <w:rPr>
                <w:rFonts w:ascii="Times New Roman" w:hAnsi="Times New Roman"/>
                <w:b w:val="0"/>
                <w:i w:val="0"/>
                <w:sz w:val="18"/>
              </w:rPr>
              <w:t>27.2</w:t>
            </w:r>
          </w:p>
        </w:tc>
        <w:tc>
          <w:tcPr>
            <w:tcW w:type="dxa" w:w="1805"/>
          </w:tcPr>
          <w:p>
            <w:r/>
            <w:r>
              <w:rPr>
                <w:rFonts w:ascii="Times New Roman" w:hAnsi="Times New Roman"/>
                <w:b w:val="0"/>
                <w:i w:val="0"/>
                <w:sz w:val="18"/>
              </w:rPr>
              <w:t>35.4</w:t>
            </w:r>
          </w:p>
        </w:tc>
        <w:tc>
          <w:tcPr>
            <w:tcW w:type="dxa" w:w="1805"/>
          </w:tcPr>
          <w:p>
            <w:r/>
            <w:r>
              <w:rPr>
                <w:rFonts w:ascii="Times New Roman" w:hAnsi="Times New Roman"/>
                <w:b w:val="0"/>
                <w:i w:val="0"/>
                <w:sz w:val="18"/>
              </w:rPr>
              <w:t>57.1</w:t>
            </w:r>
          </w:p>
        </w:tc>
      </w:tr>
    </w:tbl>
    <w:p/>
    <w:p>
      <w:pPr>
        <w:spacing w:before="240" w:after="100" w:line="240" w:lineRule="auto"/>
      </w:pPr>
      <w:r>
        <w:rPr>
          <w:rFonts w:ascii="Times New Roman" w:hAnsi="Times New Roman"/>
          <w:b/>
          <w:i w:val="0"/>
          <w:sz w:val="18"/>
        </w:rPr>
        <w:t>Tabla 6.</w:t>
      </w:r>
      <w:r>
        <w:rPr>
          <w:rFonts w:ascii="Times New Roman" w:hAnsi="Times New Roman"/>
          <w:b w:val="0"/>
          <w:i w:val="0"/>
          <w:sz w:val="18"/>
        </w:rPr>
        <w:t xml:space="preserve"> Brazos que sobreviven a cada requisito de una proporción agrupada de éxito clínico (n = 103 brazos).</w:t>
      </w:r>
    </w:p>
    <w:tbl>
      <w:tblPr>
        <w:tblStyle w:val="TableGrid"/>
        <w:tblW w:type="auto" w:w="0"/>
        <w:jc w:val="center"/>
        <w:tblLook w:firstColumn="1" w:firstRow="1" w:lastColumn="0" w:lastRow="0" w:noHBand="0" w:noVBand="1" w:val="04A0"/>
      </w:tblPr>
      <w:tblGrid>
        <w:gridCol w:w="4513"/>
        <w:gridCol w:w="4513"/>
      </w:tblGrid>
      <w:tr>
        <w:tc>
          <w:tcPr>
            <w:tcW w:type="dxa" w:w="4513"/>
          </w:tcPr>
          <w:p>
            <w:r/>
            <w:r>
              <w:rPr>
                <w:rFonts w:ascii="Times New Roman" w:hAnsi="Times New Roman"/>
                <w:b/>
                <w:i w:val="0"/>
                <w:sz w:val="18"/>
              </w:rPr>
              <w:t>Requisito acumulado</w:t>
            </w:r>
          </w:p>
        </w:tc>
        <w:tc>
          <w:tcPr>
            <w:tcW w:type="dxa" w:w="4513"/>
          </w:tcPr>
          <w:p>
            <w:r/>
            <w:r>
              <w:rPr>
                <w:rFonts w:ascii="Times New Roman" w:hAnsi="Times New Roman"/>
                <w:b/>
                <w:i w:val="0"/>
                <w:sz w:val="18"/>
              </w:rPr>
              <w:t>Brazos que quedan</w:t>
            </w:r>
          </w:p>
        </w:tc>
      </w:tr>
      <w:tr>
        <w:tc>
          <w:tcPr>
            <w:tcW w:type="dxa" w:w="4513"/>
          </w:tcPr>
          <w:p>
            <w:r/>
            <w:r>
              <w:rPr>
                <w:rFonts w:ascii="Times New Roman" w:hAnsi="Times New Roman"/>
                <w:b w:val="0"/>
                <w:i w:val="0"/>
                <w:sz w:val="18"/>
              </w:rPr>
              <w:t>Brazos extraídos</w:t>
            </w:r>
          </w:p>
        </w:tc>
        <w:tc>
          <w:tcPr>
            <w:tcW w:type="dxa" w:w="4513"/>
          </w:tcPr>
          <w:p>
            <w:r/>
            <w:r>
              <w:rPr>
                <w:rFonts w:ascii="Times New Roman" w:hAnsi="Times New Roman"/>
                <w:b w:val="0"/>
                <w:i w:val="0"/>
                <w:sz w:val="18"/>
              </w:rPr>
              <w:t>103</w:t>
            </w:r>
          </w:p>
        </w:tc>
      </w:tr>
      <w:tr>
        <w:tc>
          <w:tcPr>
            <w:tcW w:type="dxa" w:w="4513"/>
          </w:tcPr>
          <w:p>
            <w:r/>
            <w:r>
              <w:rPr>
                <w:rFonts w:ascii="Times New Roman" w:hAnsi="Times New Roman"/>
                <w:b w:val="0"/>
                <w:i w:val="0"/>
                <w:sz w:val="18"/>
              </w:rPr>
              <w:t>Diseño comparativo</w:t>
            </w:r>
          </w:p>
        </w:tc>
        <w:tc>
          <w:tcPr>
            <w:tcW w:type="dxa" w:w="4513"/>
          </w:tcPr>
          <w:p>
            <w:r/>
            <w:r>
              <w:rPr>
                <w:rFonts w:ascii="Times New Roman" w:hAnsi="Times New Roman"/>
                <w:b w:val="0"/>
                <w:i w:val="0"/>
                <w:sz w:val="18"/>
              </w:rPr>
              <w:t>16</w:t>
            </w:r>
          </w:p>
        </w:tc>
      </w:tr>
      <w:tr>
        <w:tc>
          <w:tcPr>
            <w:tcW w:type="dxa" w:w="4513"/>
          </w:tcPr>
          <w:p>
            <w:r/>
            <w:r>
              <w:rPr>
                <w:rFonts w:ascii="Times New Roman" w:hAnsi="Times New Roman"/>
                <w:b w:val="0"/>
                <w:i w:val="0"/>
                <w:sz w:val="18"/>
              </w:rPr>
              <w:t>Numerador y denominador coherentes</w:t>
            </w:r>
          </w:p>
        </w:tc>
        <w:tc>
          <w:tcPr>
            <w:tcW w:type="dxa" w:w="4513"/>
          </w:tcPr>
          <w:p>
            <w:r/>
            <w:r>
              <w:rPr>
                <w:rFonts w:ascii="Times New Roman" w:hAnsi="Times New Roman"/>
                <w:b w:val="0"/>
                <w:i w:val="0"/>
                <w:sz w:val="18"/>
              </w:rPr>
              <w:t>5</w:t>
            </w:r>
          </w:p>
        </w:tc>
      </w:tr>
      <w:tr>
        <w:tc>
          <w:tcPr>
            <w:tcW w:type="dxa" w:w="4513"/>
          </w:tcPr>
          <w:p>
            <w:r/>
            <w:r>
              <w:rPr>
                <w:rFonts w:ascii="Times New Roman" w:hAnsi="Times New Roman"/>
                <w:b w:val="0"/>
                <w:i w:val="0"/>
                <w:sz w:val="18"/>
              </w:rPr>
              <w:t>Definición operativa del éxito</w:t>
            </w:r>
          </w:p>
        </w:tc>
        <w:tc>
          <w:tcPr>
            <w:tcW w:type="dxa" w:w="4513"/>
          </w:tcPr>
          <w:p>
            <w:r/>
            <w:r>
              <w:rPr>
                <w:rFonts w:ascii="Times New Roman" w:hAnsi="Times New Roman"/>
                <w:b w:val="0"/>
                <w:i w:val="0"/>
                <w:sz w:val="18"/>
              </w:rPr>
              <w:t>2</w:t>
            </w:r>
          </w:p>
        </w:tc>
      </w:tr>
      <w:tr>
        <w:tc>
          <w:tcPr>
            <w:tcW w:type="dxa" w:w="4513"/>
          </w:tcPr>
          <w:p>
            <w:r/>
            <w:r>
              <w:rPr>
                <w:rFonts w:ascii="Times New Roman" w:hAnsi="Times New Roman"/>
                <w:b w:val="0"/>
                <w:i w:val="0"/>
                <w:sz w:val="18"/>
              </w:rPr>
              <w:t>Desenlace atribuible a P. aeruginosa</w:t>
            </w:r>
          </w:p>
        </w:tc>
        <w:tc>
          <w:tcPr>
            <w:tcW w:type="dxa" w:w="4513"/>
          </w:tcPr>
          <w:p>
            <w:r/>
            <w:r>
              <w:rPr>
                <w:rFonts w:ascii="Times New Roman" w:hAnsi="Times New Roman"/>
                <w:b w:val="0"/>
                <w:i w:val="0"/>
                <w:sz w:val="18"/>
              </w:rPr>
              <w:t>1</w:t>
            </w:r>
          </w:p>
        </w:tc>
      </w:tr>
      <w:tr>
        <w:tc>
          <w:tcPr>
            <w:tcW w:type="dxa" w:w="4513"/>
          </w:tcPr>
          <w:p>
            <w:r/>
            <w:r>
              <w:rPr>
                <w:rFonts w:ascii="Times New Roman" w:hAnsi="Times New Roman"/>
                <w:b w:val="0"/>
                <w:i w:val="0"/>
                <w:sz w:val="18"/>
              </w:rPr>
              <w:t>Administración terapéutica, no profiláctica</w:t>
            </w:r>
          </w:p>
        </w:tc>
        <w:tc>
          <w:tcPr>
            <w:tcW w:type="dxa" w:w="4513"/>
          </w:tcPr>
          <w:p>
            <w:r/>
            <w:r>
              <w:rPr>
                <w:rFonts w:ascii="Times New Roman" w:hAnsi="Times New Roman"/>
                <w:b w:val="0"/>
                <w:i w:val="0"/>
                <w:sz w:val="18"/>
              </w:rPr>
              <w:t>1</w:t>
            </w:r>
          </w:p>
        </w:tc>
      </w:tr>
      <w:tr>
        <w:tc>
          <w:tcPr>
            <w:tcW w:type="dxa" w:w="4513"/>
          </w:tcPr>
          <w:p>
            <w:r/>
            <w:r>
              <w:rPr>
                <w:rFonts w:ascii="Times New Roman" w:hAnsi="Times New Roman"/>
                <w:b w:val="0"/>
                <w:i w:val="0"/>
                <w:sz w:val="18"/>
              </w:rPr>
              <w:t>Reporta una proporción, no un tiempo</w:t>
            </w:r>
          </w:p>
        </w:tc>
        <w:tc>
          <w:tcPr>
            <w:tcW w:type="dxa" w:w="4513"/>
          </w:tcPr>
          <w:p>
            <w:r/>
            <w:r>
              <w:rPr>
                <w:rFonts w:ascii="Times New Roman" w:hAnsi="Times New Roman"/>
                <w:b w:val="0"/>
                <w:i w:val="0"/>
                <w:sz w:val="18"/>
              </w:rPr>
              <w:t>0</w:t>
            </w:r>
          </w:p>
        </w:tc>
      </w:tr>
    </w:tbl>
    <w:p/>
    <w:p>
      <w:pPr>
        <w:spacing w:before="240" w:after="100" w:line="240" w:lineRule="auto"/>
      </w:pPr>
      <w:r>
        <w:rPr>
          <w:rFonts w:ascii="Times New Roman" w:hAnsi="Times New Roman"/>
          <w:b/>
          <w:i w:val="0"/>
          <w:sz w:val="18"/>
        </w:rPr>
        <w:t>Figura 1. Diagrama de flujo PRISMA 2020.</w:t>
      </w:r>
    </w:p>
    <w:p>
      <w:pPr>
        <w:jc w:val="center"/>
      </w:pPr>
      <w:r>
        <w:drawing>
          <wp:inline xmlns:a="http://schemas.openxmlformats.org/drawingml/2006/main" xmlns:pic="http://schemas.openxmlformats.org/drawingml/2006/picture">
            <wp:extent cx="5120640" cy="5548501"/>
            <wp:docPr id="1" name="Picture 1"/>
            <wp:cNvGraphicFramePr>
              <a:graphicFrameLocks noChangeAspect="1"/>
            </wp:cNvGraphicFramePr>
            <a:graphic>
              <a:graphicData uri="http://schemas.openxmlformats.org/drawingml/2006/picture">
                <pic:pic>
                  <pic:nvPicPr>
                    <pic:cNvPr id="0" name="figura_1_prisma.png"/>
                    <pic:cNvPicPr/>
                  </pic:nvPicPr>
                  <pic:blipFill>
                    <a:blip r:embed="rId10"/>
                    <a:stretch>
                      <a:fillRect/>
                    </a:stretch>
                  </pic:blipFill>
                  <pic:spPr>
                    <a:xfrm>
                      <a:off x="0" y="0"/>
                      <a:ext cx="5120640" cy="5548501"/>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paso de los registros identificados a los estudios incluidos, con las dos corrientes de identificación —bases bibliográficas y registros de ensayos— contabilizadas por separado, como exige la declaración PRISMA 2020. </w:t>
      </w:r>
      <w:r>
        <w:rPr>
          <w:rFonts w:ascii="Times New Roman" w:hAnsi="Times New Roman"/>
          <w:b w:val="0"/>
          <w:i/>
          <w:sz w:val="22"/>
        </w:rPr>
        <w:t>Cómo leerla.</w:t>
      </w:r>
      <w:r>
        <w:rPr>
          <w:rFonts w:ascii="Times New Roman" w:hAnsi="Times New Roman"/>
          <w:b w:val="0"/>
          <w:i w:val="0"/>
          <w:sz w:val="22"/>
        </w:rP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rFonts w:ascii="Times New Roman" w:hAnsi="Times New Roman"/>
          <w:b w:val="0"/>
          <w:i/>
          <w:sz w:val="22"/>
        </w:rPr>
        <w:t>Fuente.</w:t>
      </w:r>
      <w:r>
        <w:rPr>
          <w:rFonts w:ascii="Times New Roman" w:hAnsi="Times New Roman"/>
          <w:b w:val="0"/>
          <w:i w:val="0"/>
          <w:sz w:val="22"/>
        </w:rPr>
        <w:t xml:space="preserve"> Canal de cribado del proyecto; última ejecución de la búsqueda, 10 de agosto de 2026.</w:t>
      </w:r>
    </w:p>
    <w:p>
      <w:pPr>
        <w:spacing w:before="240" w:after="100" w:line="240" w:lineRule="auto"/>
      </w:pPr>
      <w:r>
        <w:rPr>
          <w:rFonts w:ascii="Times New Roman" w:hAnsi="Times New Roman"/>
          <w:b/>
          <w:i w:val="0"/>
          <w:sz w:val="18"/>
        </w:rPr>
        <w:t>Figura 2. Composición del cuerpo de evidencia recuperable (n = 95 estudios).</w:t>
      </w:r>
    </w:p>
    <w:p>
      <w:pPr>
        <w:jc w:val="center"/>
      </w:pPr>
      <w:r>
        <w:drawing>
          <wp:inline xmlns:a="http://schemas.openxmlformats.org/drawingml/2006/main" xmlns:pic="http://schemas.openxmlformats.org/drawingml/2006/picture">
            <wp:extent cx="5120640" cy="2343750"/>
            <wp:docPr id="2" name="Picture 2"/>
            <wp:cNvGraphicFramePr>
              <a:graphicFrameLocks noChangeAspect="1"/>
            </wp:cNvGraphicFramePr>
            <a:graphic>
              <a:graphicData uri="http://schemas.openxmlformats.org/drawingml/2006/picture">
                <pic:pic>
                  <pic:nvPicPr>
                    <pic:cNvPr id="0" name="figura_2_composicion.png"/>
                    <pic:cNvPicPr/>
                  </pic:nvPicPr>
                  <pic:blipFill>
                    <a:blip r:embed="rId11"/>
                    <a:stretch>
                      <a:fillRect/>
                    </a:stretch>
                  </pic:blipFill>
                  <pic:spPr>
                    <a:xfrm>
                      <a:off x="0" y="0"/>
                      <a:ext cx="5120640" cy="2343750"/>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Panel A ordena los estudios por diseño; el Panel B los distribuye por año de publicación, separando en cada año los diseños comparativos del resto. </w:t>
      </w:r>
      <w:r>
        <w:rPr>
          <w:rFonts w:ascii="Times New Roman" w:hAnsi="Times New Roman"/>
          <w:b w:val="0"/>
          <w:i/>
          <w:sz w:val="22"/>
        </w:rPr>
        <w:t>Cómo leerla.</w:t>
      </w:r>
      <w:r>
        <w:rPr>
          <w:rFonts w:ascii="Times New Roman" w:hAnsi="Times New Roman"/>
          <w:b w:val="0"/>
          <w:i w:val="0"/>
          <w:sz w:val="22"/>
        </w:rP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rFonts w:ascii="Times New Roman" w:hAnsi="Times New Roman"/>
          <w:b w:val="0"/>
          <w:i/>
          <w:sz w:val="22"/>
        </w:rPr>
        <w:t>Fuente.</w:t>
      </w:r>
      <w:r>
        <w:rPr>
          <w:rFonts w:ascii="Times New Roman" w:hAnsi="Times New Roman"/>
          <w:b w:val="0"/>
          <w:i w:val="0"/>
          <w:sz w:val="22"/>
        </w:rPr>
        <w:t xml:space="preserve"> Pre-extracción sistemática desde el resumen de los 95 estudios con publicación recuperable.</w:t>
      </w:r>
    </w:p>
    <w:p>
      <w:pPr>
        <w:spacing w:before="280" w:after="140"/>
      </w:pPr>
      <w:r>
        <w:rPr>
          <w:rFonts w:ascii="Times New Roman" w:hAnsi="Times New Roman"/>
          <w:b/>
          <w:i w:val="0"/>
          <w:sz w:val="24"/>
        </w:rPr>
        <w:t>Material suplementario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S0.</w:t>
      </w:r>
      <w:r>
        <w:rPr>
          <w:rFonts w:ascii="Times New Roman" w:hAnsi="Times New Roman"/>
          <w:b w:val="0"/>
          <w:i w:val="0"/>
          <w:sz w:val="22"/>
        </w:rPr>
        <w:t xml:space="preserve"> Informe editorial: qué se decidió, cuándo y con qué fundamento.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w:t>
      </w:r>
      <w:r>
        <w:rPr>
          <w:rFonts w:ascii="Times New Roman" w:hAnsi="Times New Roman"/>
          <w:b w:val="0"/>
          <w:i w:val="0"/>
          <w:sz w:val="22"/>
        </w:rPr>
        <w:t xml:space="preserve"> Lista de comprobación PRISMA 2020.</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S2.</w:t>
      </w:r>
      <w:r>
        <w:rPr>
          <w:rFonts w:ascii="Times New Roman" w:hAnsi="Times New Roman"/>
          <w:b w:val="0"/>
          <w:i w:val="0"/>
          <w:sz w:val="22"/>
        </w:rPr>
        <w:t xml:space="preserve"> Ecuaciones de búsqueda literales por fuente, con fecha y número de resultados.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S3.</w:t>
      </w:r>
      <w:r>
        <w:rPr>
          <w:rFonts w:ascii="Times New Roman" w:hAnsi="Times New Roman"/>
          <w:b w:val="0"/>
          <w:i w:val="0"/>
          <w:sz w:val="22"/>
        </w:rPr>
        <w:t xml:space="preserve"> Registro completo de decisiones de cribado, en dos ficheros: etapa 2 (título) y etapa 3 (resumen). Cada fila lleva su motivo codificado, quién la emitió y su marca de tiempo.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S4.</w:t>
      </w:r>
      <w:r>
        <w:rPr>
          <w:rFonts w:ascii="Times New Roman" w:hAnsi="Times New Roman"/>
          <w:b w:val="0"/>
          <w:i w:val="0"/>
          <w:sz w:val="22"/>
        </w:rPr>
        <w:t xml:space="preserve"> Pre-extracción desde el resumen, marcada como parcial en cada registro.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S5.</w:t>
      </w:r>
      <w:r>
        <w:rPr>
          <w:rFonts w:ascii="Times New Roman" w:hAnsi="Times New Roman"/>
          <w:b w:val="0"/>
          <w:i w:val="0"/>
          <w:sz w:val="22"/>
        </w:rPr>
        <w:t xml:space="preserve"> Listado de los 155 estudios con su situación y sus informes agrupados, y de los 29 excluidos tras el cribado, con su motivo y su cita.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S6.</w:t>
      </w:r>
      <w:r>
        <w:rPr>
          <w:rFonts w:ascii="Times New Roman" w:hAnsi="Times New Roman"/>
          <w:b w:val="0"/>
          <w:i w:val="0"/>
          <w:sz w:val="22"/>
        </w:rPr>
        <w:t xml:space="preserve"> Auditoría de controles positivos.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S7.</w:t>
      </w:r>
      <w:r>
        <w:rPr>
          <w:rFonts w:ascii="Times New Roman" w:hAnsi="Times New Roman"/>
          <w:b w:val="0"/>
          <w:i w:val="0"/>
          <w:sz w:val="22"/>
        </w:rPr>
        <w:t xml:space="preserve"> Declaraciones ICMJE.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S8.</w:t>
      </w:r>
      <w:r>
        <w:rPr>
          <w:rFonts w:ascii="Times New Roman" w:hAnsi="Times New Roman"/>
          <w:b w:val="0"/>
          <w:i w:val="0"/>
          <w:sz w:val="22"/>
        </w:rPr>
        <w:t xml:space="preserve"> Registro de recuperación de texto completo: qué se intentó por cada estudio y con qué resultado.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S9.</w:t>
      </w:r>
      <w:r>
        <w:rPr>
          <w:rFonts w:ascii="Times New Roman" w:hAnsi="Times New Roman"/>
          <w:b w:val="0"/>
          <w:i w:val="0"/>
          <w:sz w:val="22"/>
        </w:rPr>
        <w:t xml:space="preserve"> Idioma por informe, con la clase de evidencia que aportaba.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S10.</w:t>
      </w:r>
      <w:r>
        <w:rPr>
          <w:rFonts w:ascii="Times New Roman" w:hAnsi="Times New Roman"/>
          <w:b w:val="0"/>
          <w:i w:val="0"/>
          <w:sz w:val="22"/>
        </w:rPr>
        <w:t xml:space="preserve"> Verificación del idioma sobre el texto completo del PDF, no sobre los metadatos.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S11.</w:t>
      </w:r>
      <w:r>
        <w:rPr>
          <w:rFonts w:ascii="Times New Roman" w:hAnsi="Times New Roman"/>
          <w:b w:val="0"/>
          <w:i w:val="0"/>
          <w:sz w:val="22"/>
        </w:rPr>
        <w:t xml:space="preserve"> Concordancia entre las dos extracciones independientes, antes de resolver los desacuerdos.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S12.</w:t>
      </w:r>
      <w:r>
        <w:rPr>
          <w:rFonts w:ascii="Times New Roman" w:hAnsi="Times New Roman"/>
          <w:b w:val="0"/>
          <w:i w:val="0"/>
          <w:sz w:val="22"/>
        </w:rPr>
        <w:t xml:space="preserve"> Resolución de conflictos de extracción, incluidos los que no pueden dirimirse todavía.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S14.</w:t>
      </w:r>
      <w:r>
        <w:rPr>
          <w:rFonts w:ascii="Times New Roman" w:hAnsi="Times New Roman"/>
          <w:b w:val="0"/>
          <w:i w:val="0"/>
          <w:sz w:val="22"/>
        </w:rPr>
        <w:t xml:space="preserve"> Extracción adjudicada: un valor por casilla, brazo a brazo, tras el consenso. Sostiene la sección 3.5 y las tablas 5 y 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S15.</w:t>
      </w:r>
      <w:r>
        <w:rPr>
          <w:rFonts w:ascii="Times New Roman" w:hAnsi="Times New Roman"/>
          <w:b w:val="0"/>
          <w:i w:val="0"/>
          <w:sz w:val="22"/>
        </w:rPr>
        <w:t xml:space="preserve"> Procedencia de cada casilla de S14: acuerdo, consenso, una sola lectura o abierta.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S13.</w:t>
      </w:r>
      <w:r>
        <w:rPr>
          <w:rFonts w:ascii="Times New Roman" w:hAnsi="Times New Roman"/>
          <w:b w:val="0"/>
          <w:i w:val="0"/>
          <w:sz w:val="22"/>
        </w:rPr>
        <w:t xml:space="preserve"> Reglas de extracción de desenlaces, con su corrección documentada.</w:t>
      </w:r>
    </w:p>
    <w:p>
      <w:pPr>
        <w:jc w:val="both"/>
      </w:pPr>
      <w:r>
        <w:rPr>
          <w:rFonts w:ascii="Times New Roman" w:hAnsi="Times New Roman"/>
          <w:b w:val="0"/>
          <w:i w:val="0"/>
          <w:sz w:val="22"/>
        </w:rPr>
        <w:t>Los acompaña una guía que explica, fichero a fichero, qué contiene y qué pregunta permite contestar.</w:t>
      </w:r>
    </w:p>
    <w:p>
      <w:pPr>
        <w:spacing w:before="320"/>
      </w:pPr>
      <w:r>
        <w:rPr>
          <w:rFonts w:ascii="Times New Roman" w:hAnsi="Times New Roman"/>
          <w:b/>
          <w:i w:val="0"/>
          <w:sz w:val="24"/>
        </w:rPr>
        <w:t>Referencias</w:t>
      </w:r>
    </w:p>
    <w:p>
      <w:pPr>
        <w:spacing w:after="80" w:line="240" w:lineRule="auto"/>
        <w:ind w:left="504" w:hanging="504"/>
      </w:pPr>
      <w:r>
        <w:rPr>
          <w:rFonts w:ascii="Times New Roman" w:hAnsi="Times New Roman"/>
          <w:b w:val="0"/>
          <w:i w:val="0"/>
          <w:sz w:val="20"/>
        </w:rPr>
        <w:t>1. Tacconelli E, Carrara E, Savoldi A, Harbarth S, Mendelson M, Monnet DL, et al. Discovery, Research, and Development of New Antibiotics: The WHO Priority List of Antibiotic-Resistant Bacteria and Tuberculosis. Lancet Infectious Diseases. 2018;18(3):318–327. https://doi.org/10.1016/S1473-3099(17)30753-3</w:t>
      </w:r>
    </w:p>
    <w:p>
      <w:pPr>
        <w:spacing w:after="80" w:line="240" w:lineRule="auto"/>
        <w:ind w:left="504" w:hanging="504"/>
      </w:pPr>
      <w:r>
        <w:rPr>
          <w:rFonts w:ascii="Times New Roman" w:hAnsi="Times New Roman"/>
          <w:b w:val="0"/>
          <w:i w:val="0"/>
          <w:sz w:val="20"/>
        </w:rPr>
        <w:t>2. World Health Organization. WHO Bacterial Priority Pathogens List, 2024: Bacterial Pathogens of Public Health Importance to Guide Research, Development and Strategies to Prevent and Control Antimicrobial Resistance. World Health Organization, Geneva. 2024.</w:t>
      </w:r>
    </w:p>
    <w:p>
      <w:pPr>
        <w:spacing w:after="80" w:line="240" w:lineRule="auto"/>
        <w:ind w:left="504" w:hanging="504"/>
      </w:pPr>
      <w:r>
        <w:rPr>
          <w:rFonts w:ascii="Times New Roman" w:hAnsi="Times New Roman"/>
          <w:b w:val="0"/>
          <w:i w:val="0"/>
          <w:sz w:val="20"/>
        </w:rPr>
        <w:t>3. Pirnay J, Djebara S, Steurs G, Griselain J, Cochez C, De Soir S, et al. Personalized Bacteriophage Therapy Outcomes for 100 Consecutive Cases: A Multicentre, Multinational, Retrospective Observational Study. Nature Microbiology. 2024;9(6):1434–1453. https://doi.org/10.1038/s41564-024-01705-x</w:t>
      </w:r>
    </w:p>
    <w:p>
      <w:pPr>
        <w:spacing w:after="80" w:line="240" w:lineRule="auto"/>
        <w:ind w:left="504" w:hanging="504"/>
      </w:pPr>
      <w:r>
        <w:rPr>
          <w:rFonts w:ascii="Times New Roman" w:hAnsi="Times New Roman"/>
          <w:b w:val="0"/>
          <w:i w:val="0"/>
          <w:sz w:val="20"/>
        </w:rPr>
        <w:t>4. Aslam S, Courtwright AM, Koval C, Lehman SM, Morales S, Furr C, et al. Early Clinical Experience of Bacteriophage Therapy in 3 Lung Transplant Recipients. American Journal of Transplantation. 2019;19(9):2631–2639. https://doi.org/10.1111/ajt.15503</w:t>
      </w:r>
    </w:p>
    <w:p>
      <w:pPr>
        <w:spacing w:after="80" w:line="240" w:lineRule="auto"/>
        <w:ind w:left="504" w:hanging="504"/>
      </w:pPr>
      <w:r>
        <w:rPr>
          <w:rFonts w:ascii="Times New Roman" w:hAnsi="Times New Roman"/>
          <w:b w:val="0"/>
          <w:i w:val="0"/>
          <w:sz w:val="20"/>
        </w:rPr>
        <w:t>5. Chan BK, Turner PE, Kim S, Mojibian HR, Elefteriades JA, Narayan D. Phage Treatment of an Aortic Graft Infected With Pseudomonas aeruginosa. Evolution, Medicine, and Public Health. 2018;2018(1):60–66. https://doi.org/10.1093/emph/eoy005</w:t>
      </w:r>
    </w:p>
    <w:p>
      <w:pPr>
        <w:spacing w:after="80" w:line="240" w:lineRule="auto"/>
        <w:ind w:left="504" w:hanging="504"/>
      </w:pPr>
      <w:r>
        <w:rPr>
          <w:rFonts w:ascii="Times New Roman" w:hAnsi="Times New Roman"/>
          <w:b w:val="0"/>
          <w:i w:val="0"/>
          <w:sz w:val="20"/>
        </w:rPr>
        <w:t>6. Uyttebroek S, Chen B, Onsea J, Ruythooren F, Debaveye Y, Devolder D, et al. Safety and Efficacy of Phage Therapy in Difficult-to-Treat Infections: A Systematic Review. Lancet Infectious Diseases. 2022;22(8):e208–e220.</w:t>
      </w:r>
    </w:p>
    <w:p>
      <w:pPr>
        <w:spacing w:after="80" w:line="240" w:lineRule="auto"/>
        <w:ind w:left="504" w:hanging="504"/>
      </w:pPr>
      <w:r>
        <w:rPr>
          <w:rFonts w:ascii="Times New Roman" w:hAnsi="Times New Roman"/>
          <w:b w:val="0"/>
          <w:i w:val="0"/>
          <w:sz w:val="20"/>
        </w:rPr>
        <w:t>7. Liu Y, Thong S, Moreira W, Yeo JH, Zhong Y, Chong ZS, et al. Clinical Application of Customized and Non-Customized Bacteriophage Therapy in Patients with Refractory/Resistant Bacterial Infections: A Systematic Review and Meta-Analysis. International Journal of Antimicrobial Agents. 2025;66(4):107570. https://doi.org/10.1016/j.ijantimicag.2025.107570</w:t>
      </w:r>
    </w:p>
    <w:p>
      <w:pPr>
        <w:spacing w:after="80" w:line="240" w:lineRule="auto"/>
        <w:ind w:left="504" w:hanging="504"/>
      </w:pPr>
      <w:r>
        <w:rPr>
          <w:rFonts w:ascii="Times New Roman" w:hAnsi="Times New Roman"/>
          <w:b w:val="0"/>
          <w:i w:val="0"/>
          <w:sz w:val="20"/>
        </w:rPr>
        <w:t>8. Page MJ, McKenzie JE, Bossuyt PM, Boutron I, Hoffmann TC, Mulrow CD, et al. The PRISMA 2020 Statement: An Updated Guideline for Reporting Systematic Reviews. BMJ. 2021;372:n71. https://doi.org/10.1136/bmj.n71</w:t>
      </w:r>
    </w:p>
    <w:p>
      <w:pPr>
        <w:spacing w:after="80" w:line="240" w:lineRule="auto"/>
        <w:ind w:left="504" w:hanging="504"/>
      </w:pPr>
      <w:r>
        <w:rPr>
          <w:rFonts w:ascii="Times New Roman" w:hAnsi="Times New Roman"/>
          <w:b w:val="0"/>
          <w:i w:val="0"/>
          <w:sz w:val="20"/>
        </w:rPr>
        <w:t>9. Magiorakos A, Srinivasan A, Carey RB, Carmeli Y, Falagas ME, Giske CG, et al. Multidrug-Resistant, Extensively Drug-Resistant and Pandrug-Resistant Bacteria: An International Expert Proposal for Interim Standard Definitions for Acquired Resistance. Clinical Microbiology and Infection. 2012;18(3):268–281. https://doi.org/10.1111/j.1469-0691.2011.03570.x</w:t>
      </w:r>
    </w:p>
    <w:p>
      <w:pPr>
        <w:spacing w:after="80" w:line="240" w:lineRule="auto"/>
        <w:ind w:left="504" w:hanging="504"/>
      </w:pPr>
      <w:r>
        <w:rPr>
          <w:rFonts w:ascii="Times New Roman" w:hAnsi="Times New Roman"/>
          <w:b w:val="0"/>
          <w:i w:val="0"/>
          <w:sz w:val="20"/>
        </w:rPr>
        <w:t>10. Sterne JAC, Savović J, Page MJ, Elbers RG, Blencowe NS, Boutron I, et al. RoB 2: A Revised Tool for Assessing Risk of Bias in Randomised Trials. BMJ. 2019;366:l4898. https://doi.org/10.1136/bmj.l4898</w:t>
      </w:r>
    </w:p>
    <w:p>
      <w:pPr>
        <w:spacing w:after="80" w:line="240" w:lineRule="auto"/>
        <w:ind w:left="504" w:hanging="504"/>
      </w:pPr>
      <w:r>
        <w:rPr>
          <w:rFonts w:ascii="Times New Roman" w:hAnsi="Times New Roman"/>
          <w:b w:val="0"/>
          <w:i w:val="0"/>
          <w:sz w:val="20"/>
        </w:rPr>
        <w:t>11. Sterne JA, Hernán MA, Reeves BC, Savović J, Berkman ND, Viswanathan M, et al. ROBINS-I: A Tool for Assessing Risk of Bias in Non-Randomised Studies of Interventions. BMJ. 2016;355:i4919. https://doi.org/10.1136/bmj.i4919</w:t>
      </w:r>
    </w:p>
    <w:p>
      <w:pPr>
        <w:spacing w:after="80" w:line="240" w:lineRule="auto"/>
        <w:ind w:left="504" w:hanging="504"/>
      </w:pPr>
      <w:r>
        <w:rPr>
          <w:rFonts w:ascii="Times New Roman" w:hAnsi="Times New Roman"/>
          <w:b w:val="0"/>
          <w:i w:val="0"/>
          <w:sz w:val="20"/>
        </w:rPr>
        <w:t>12. Murad MH, Sultan S, Haffar S, Bazerbachi F. Methodological Quality and Synthesis of Case Series and Case Reports. BMJ Evidence-Based Medicine. 2018;23(2):60–63. https://doi.org/10.1136/bmjebm-2017-110853</w:t>
      </w:r>
    </w:p>
    <w:p>
      <w:pPr>
        <w:spacing w:after="80" w:line="240" w:lineRule="auto"/>
        <w:ind w:left="504" w:hanging="504"/>
      </w:pPr>
      <w:r>
        <w:rPr>
          <w:rFonts w:ascii="Times New Roman" w:hAnsi="Times New Roman"/>
          <w:b w:val="0"/>
          <w:i w:val="0"/>
          <w:sz w:val="20"/>
        </w:rPr>
        <w:t>13. Munn Z, Barker TH, Moola S, Tufanaru C, Stern C, McArthur A, et al. Methodological Quality of Case Series Studies: An Introduction to the JBI Critical Appraisal Tool. JBI Evidence Synthesis. 2020;18(10):2127–2133. https://doi.org/10.11124/JBISRIR-D-19-00099</w:t>
      </w:r>
    </w:p>
    <w:p>
      <w:pPr>
        <w:spacing w:after="80" w:line="240" w:lineRule="auto"/>
        <w:ind w:left="504" w:hanging="504"/>
      </w:pPr>
      <w:r>
        <w:rPr>
          <w:rFonts w:ascii="Times New Roman" w:hAnsi="Times New Roman"/>
          <w:b w:val="0"/>
          <w:i w:val="0"/>
          <w:sz w:val="20"/>
        </w:rPr>
        <w:t>14. Guyatt G, Oxman AD, Akl EA, Kunz R, Vist G, Brozek J, et al. GRADE Guidelines: 1. Introduction --- GRADE Evidence Profiles and Summary of Findings Tables. Journal of Clinical Epidemiology. 2011;64(4):383–394. https://doi.org/10.1016/j.jclinepi.2010.04.026</w:t>
      </w:r>
    </w:p>
    <w:p>
      <w:pPr>
        <w:spacing w:after="80" w:line="240" w:lineRule="auto"/>
        <w:ind w:left="504" w:hanging="504"/>
      </w:pPr>
      <w:r>
        <w:rPr>
          <w:rFonts w:ascii="Times New Roman" w:hAnsi="Times New Roman"/>
          <w:b w:val="0"/>
          <w:i w:val="0"/>
          <w:sz w:val="20"/>
        </w:rPr>
        <w:t>15. Barker TH, Migliavaca CB, Stein C, Colpani V, Falavigna M, Aromataris E, et al. Conducting Proportional Meta-Analysis in Different Types of Systematic Reviews: A Guide for Synthesisers of Evidence. BMC Medical Research Methodology. 2021;21(1):189. https://doi.org/10.1186/s12874-021-01381-z</w:t>
      </w:r>
    </w:p>
    <w:p>
      <w:pPr>
        <w:spacing w:after="80" w:line="240" w:lineRule="auto"/>
        <w:ind w:left="504" w:hanging="504"/>
      </w:pPr>
      <w:r>
        <w:rPr>
          <w:rFonts w:ascii="Times New Roman" w:hAnsi="Times New Roman"/>
          <w:b w:val="0"/>
          <w:i w:val="0"/>
          <w:sz w:val="20"/>
        </w:rPr>
        <w:t>16. Migliavaca CB, Stein C, Colpani V, Barker TH, Ziegelmann PK, Munn Z, et al. Meta-Analysis of Prevalence: $I^2$ Statistic and How to Deal With Heterogeneity. Research Synthesis Methods. 2022;13(3):363–367. https://doi.org/10.1002/jrsm.1547</w:t>
      </w:r>
    </w:p>
    <w:p>
      <w:pPr>
        <w:spacing w:after="80" w:line="240" w:lineRule="auto"/>
        <w:ind w:left="504" w:hanging="504"/>
      </w:pPr>
      <w:r>
        <w:rPr>
          <w:rFonts w:ascii="Times New Roman" w:hAnsi="Times New Roman"/>
          <w:b w:val="0"/>
          <w:i w:val="0"/>
          <w:sz w:val="20"/>
        </w:rPr>
        <w:t>17. Jault P, Leclerc T, Jennes S, Pirnay J, Que Y, Resch G, et al. Efficacy and Tolerability of a Cocktail of Bacteriophages to Treat Burn Wounds Infected by Pseudomonas aeruginosa (PhagoBurn): A Randomised, Controlled, Double-Blind Phase 1/2 Trial. Lancet Infectious Diseases. 2019;19(1):35–45. https://doi.org/10.1016/S1473-3099(18)30482-1</w:t>
      </w:r>
    </w:p>
    <w:p>
      <w:pPr>
        <w:spacing w:after="80" w:line="240" w:lineRule="auto"/>
        <w:ind w:left="504" w:hanging="504"/>
      </w:pPr>
      <w:r>
        <w:rPr>
          <w:rFonts w:ascii="Times New Roman" w:hAnsi="Times New Roman"/>
          <w:b w:val="0"/>
          <w:i w:val="0"/>
          <w:sz w:val="20"/>
        </w:rPr>
        <w:t>18. Weiner I, Kahan-Hanum M, Buchstab N, Zelcbuch L, Navok S, Sherman I, et al. Phage Therapy with Nebulized Cocktail BX004-A for Chronic Pseudomonas aeruginosa Infections in Cystic Fibrosis: A Randomized First-in-Human Trial. Nature Communications. 2025;16(1):5579. https://doi.org/10.1038/s41467-025-60598-4</w:t>
      </w:r>
    </w:p>
    <w:p>
      <w:pPr>
        <w:spacing w:after="80" w:line="240" w:lineRule="auto"/>
        <w:ind w:left="504" w:hanging="504"/>
      </w:pPr>
      <w:r>
        <w:rPr>
          <w:rFonts w:ascii="Times New Roman" w:hAnsi="Times New Roman"/>
          <w:b w:val="0"/>
          <w:i w:val="0"/>
          <w:sz w:val="20"/>
        </w:rPr>
        <w:t>19. Nir-Paz R, Onallah H, Dekel M, Gellman Y, Haze A, Ben-Ami R, et al. Randomized double-blind study on safety and tolerability of TP-102 phage cocktail in patients with infected and non-infected diabetic foot ulcers. Med. 2025;6:100565. https://doi.org/10.1016/j.medj.2024.11.018</w:t>
      </w:r>
    </w:p>
    <w:p>
      <w:pPr>
        <w:spacing w:after="80" w:line="240" w:lineRule="auto"/>
        <w:ind w:left="504" w:hanging="504"/>
      </w:pPr>
      <w:r>
        <w:rPr>
          <w:rFonts w:ascii="Times New Roman" w:hAnsi="Times New Roman"/>
          <w:b w:val="0"/>
          <w:i w:val="0"/>
          <w:sz w:val="20"/>
        </w:rPr>
        <w:t>20. Ferry T, Kolenda C, Laurent F, Leboucher G, Merabishvili M, Djebara S, et al. Personalized Bacteriophage Therapy to Treat Pandrug-Resistant Spinal Pseudomonas aeruginosa Infection. Nature Communications. 2022;13:4239. https://doi.org/10.1038/s41467-022-31837-9</w:t>
      </w:r>
    </w:p>
    <w:p>
      <w:pPr>
        <w:spacing w:after="80" w:line="240" w:lineRule="auto"/>
        <w:ind w:left="504" w:hanging="504"/>
      </w:pPr>
      <w:r>
        <w:rPr>
          <w:rFonts w:ascii="Times New Roman" w:hAnsi="Times New Roman"/>
          <w:b w:val="0"/>
          <w:i w:val="0"/>
          <w:sz w:val="20"/>
        </w:rPr>
        <w:t>21. Onallah H, Hazan R, Nir-Paz R, et al. Refractory Pseudomonas aeruginosa Infections Treated with Phage PASA16: A Compassionate Use Case Series. Med. 2023;4(9):600–611.e4. https://doi.org/10.1016/j.medj.2023.07.002</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Informe extendido — NO es el manuscrito de envío. Fagoterapia en P. aeruginosa multirresistente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