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i w:val="0"/>
          <w:sz w:val="30"/>
        </w:rPr>
        <w:t>Resumen estructurado</w:t>
      </w:r>
    </w:p>
    <w:p>
      <w:pPr>
        <w:jc w:val="both"/>
      </w:pPr>
      <w:r>
        <w:rPr>
          <w:rFonts w:ascii="Times New Roman" w:hAnsi="Times New Roman"/>
          <w:b w:val="0"/>
          <w:i w:val="0"/>
          <w:sz w:val="22"/>
        </w:rPr>
        <w:t>Normas de la revista comprobadas aquí: resumen de 250 palabras como máximo —contadas como las cuenta Word, etiquetas y signos «%» incluidos—, entre 3 y 5 palabras clave, en los dos idiomas.</w:t>
      </w:r>
    </w:p>
    <w:p>
      <w:pPr>
        <w:spacing w:before="280" w:after="40"/>
      </w:pPr>
      <w:r>
        <w:rPr>
          <w:rFonts w:ascii="Times New Roman" w:hAnsi="Times New Roman"/>
          <w:b/>
          <w:i w:val="0"/>
          <w:sz w:val="24"/>
        </w:rPr>
        <w:t>Resumen estructurado (español) — 257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Introducción.</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w:t>
      </w:r>
    </w:p>
    <w:p>
      <w:pPr>
        <w:jc w:val="both"/>
      </w:pPr>
      <w:r>
        <w:rPr>
          <w:rFonts w:ascii="Times New Roman" w:hAnsi="Times New Roman"/>
          <w:b w:val="0"/>
          <w:i/>
          <w:sz w:val="22"/>
        </w:rPr>
        <w:t>Objetivo.</w:t>
      </w:r>
      <w:r>
        <w:rPr>
          <w:rFonts w:ascii="Times New Roman" w:hAnsi="Times New Roman"/>
          <w:b w:val="0"/>
          <w:i w:val="0"/>
          <w:sz w:val="22"/>
        </w:rPr>
        <w:t xml:space="preserve"> Delimitar la evidencia clínica disponible y determinar si su estructura y reporte admiten una síntesis cuantitativa de eficacia.</w:t>
      </w:r>
    </w:p>
    <w:p>
      <w:pPr>
        <w:jc w:val="both"/>
      </w:pPr>
      <w:r>
        <w:rPr>
          <w:rFonts w:ascii="Times New Roman" w:hAnsi="Times New Roman"/>
          <w:b w:val="0"/>
          <w:i/>
          <w:sz w:val="22"/>
        </w:rPr>
        <w:t>Metodología.</w:t>
      </w:r>
      <w:r>
        <w:rPr>
          <w:rFonts w:ascii="Times New Roman" w:hAnsi="Times New Roman"/>
          <w:b w:val="0"/>
          <w:i w:val="0"/>
          <w:sz w:val="22"/>
        </w:rPr>
        <w:t xml:space="preserve"> Revisión sistemática conforme a PRISMA 2020, en dos corrientes: bases bibliográficas y registros de ensayos. Ocho fuentes, con ventana 2016-2026 donde la interfaz la admite. La unidad de inclusión fue el estudio, no el informe. Extracción por duplicado e independiente, con 539 de 541 desacuerdos adjudicados por consenso. El riesgo de sesgo se evaluó por consenso, por dominios, en los 11 comparativos con texto completo (RoB 2, ROBINS-I); no se aplicó GRADE.</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 233 informes formaron 183 estudios evaluados para elegibilidad, de los que 47 se excluyeron: 23 por el artículo, 17 por la ficha del registro y 7 sin poder leer ninguno. Quedan 136 estudios, 94 con publicación recuperable y 70 con texto obtenido (74,5 %). De esos 94, el 44,7 % son reportes de caso único y el 10,6 % tiene diseño comparativo; la categoría de resistencia no puede asignarse desde el resumen en el 75,5 %. En 69 de 102 brazos extraídos (67,6 %) no consta una definición operativa de éxito clínico. Ningún brazo reúne los requisitos aritméticos de una proporción agrupada y los de elegibilidad.</w:t>
      </w:r>
    </w:p>
    <w:p>
      <w:pPr>
        <w:jc w:val="both"/>
      </w:pPr>
      <w:r>
        <w:rPr>
          <w:rFonts w:ascii="Times New Roman" w:hAnsi="Times New Roman"/>
          <w:b w:val="0"/>
          <w:i/>
          <w:sz w:val="22"/>
        </w:rPr>
        <w:t>Conclusiones.</w:t>
      </w:r>
      <w:r>
        <w:rPr>
          <w:rFonts w:ascii="Times New Roman" w:hAnsi="Times New Roman"/>
          <w:b w:val="0"/>
          <w:i w:val="0"/>
          <w:sz w:val="22"/>
        </w:rPr>
        <w:t xml:space="preserve">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Structured abstract (English) — 259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Introduction.</w:t>
      </w:r>
      <w:r>
        <w:rPr>
          <w:rFonts w:ascii="Times New Roman" w:hAnsi="Times New Roman"/>
          <w:b w:val="0"/>
          <w:i w:val="0"/>
          <w:sz w:val="22"/>
        </w:rPr>
        <w:t xml:space="preserve"> 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w:t>
      </w:r>
    </w:p>
    <w:p>
      <w:pPr>
        <w:jc w:val="both"/>
      </w:pPr>
      <w:r>
        <w:rPr>
          <w:rFonts w:ascii="Times New Roman" w:hAnsi="Times New Roman"/>
          <w:b w:val="0"/>
          <w:i/>
          <w:sz w:val="22"/>
        </w:rPr>
        <w:t>Objective.</w:t>
      </w:r>
      <w:r>
        <w:rPr>
          <w:rFonts w:ascii="Times New Roman" w:hAnsi="Times New Roman"/>
          <w:b w:val="0"/>
          <w:i w:val="0"/>
          <w:sz w:val="22"/>
        </w:rPr>
        <w:t xml:space="preserve"> To delimit the available evidence and determine whether its structure and reporting admit a quantitative synthesis of efficacy.</w:t>
      </w:r>
    </w:p>
    <w:p>
      <w:pPr>
        <w:jc w:val="both"/>
      </w:pPr>
      <w:r>
        <w:rPr>
          <w:rFonts w:ascii="Times New Roman" w:hAnsi="Times New Roman"/>
          <w:b w:val="0"/>
          <w:i/>
          <w:sz w:val="22"/>
        </w:rPr>
        <w:t>Methodology.</w:t>
      </w:r>
      <w:r>
        <w:rPr>
          <w:rFonts w:ascii="Times New Roman" w:hAnsi="Times New Roman"/>
          <w:b w:val="0"/>
          <w:i w:val="0"/>
          <w:sz w:val="22"/>
        </w:rPr>
        <w:t xml:space="preserve"> Systematic review following PRISMA 2020, with separate streams for bibliographic databases and trial registries. Eight sources were queried with a 2016-2026 window where the interface allows it. The unit of inclusion was the study, not the report. Extraction was in duplicate and independent, with 539 of 541 disagreements adjudicated. Risk of bias was assessed by consensus, by domain, in the 11 comparative studies with full text (RoB 2, ROBINS-I); GRADE was not applied.</w:t>
      </w:r>
    </w:p>
    <w:p>
      <w:pPr>
        <w:jc w:val="both"/>
      </w:pPr>
      <w:r>
        <w:rPr>
          <w:rFonts w:ascii="Times New Roman" w:hAnsi="Times New Roman"/>
          <w:b w:val="0"/>
          <w:i/>
          <w:sz w:val="22"/>
        </w:rPr>
        <w:t>Results.</w:t>
      </w:r>
      <w:r>
        <w:rPr>
          <w:rFonts w:ascii="Times New Roman" w:hAnsi="Times New Roman"/>
          <w:b w:val="0"/>
          <w:i w:val="0"/>
          <w:sz w:val="22"/>
        </w:rPr>
        <w:t xml:space="preserve"> From 23 057 records, 17 129 unique reports remained; 233 reports formed 183 studies assessed for eligibility, of which 47 were excluded: 23 on the article, 17 on the registry record and 7 without reading either. 136 studies remain, 94 with a retrievable publication and 70 with the text obtained (74.5 %). Of those 94, 44.7 % are single case reports and 10.6 % have a comparative design; resistance category cannot be assigned from the abstract in 75.5 %. In 69 of the 102 extracted arms (67.6 %) no operational definition of clinical success is on record. No arm meets all seven requirements of a pooled proportion; of the 21 meeting the other six, 16 have a single-patient denominator.</w:t>
      </w:r>
    </w:p>
    <w:p>
      <w:pPr>
        <w:jc w:val="both"/>
      </w:pPr>
      <w:r>
        <w:rPr>
          <w:rFonts w:ascii="Times New Roman" w:hAnsi="Times New Roman"/>
          <w:b w:val="0"/>
          <w:i/>
          <w:sz w:val="22"/>
        </w:rPr>
        <w:t>Conclusions.</w:t>
      </w:r>
      <w:r>
        <w:rPr>
          <w:rFonts w:ascii="Times New Roman" w:hAnsi="Times New Roman"/>
          <w:b w:val="0"/>
          <w:i w:val="0"/>
          <w:sz w:val="22"/>
        </w:rPr>
        <w:t xml:space="preserve">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p>
      <w:pPr>
        <w:spacing w:before="360" w:after="40"/>
      </w:pPr>
      <w:r>
        <w:rPr>
          <w:rFonts w:ascii="Times New Roman" w:hAnsi="Times New Roman"/>
          <w:b/>
          <w:i w:val="0"/>
          <w:sz w:val="24"/>
        </w:rPr>
        <w:t>Resumen en párrafo corrido (español) — 248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 Este trabajo delimita esa evidencia y determina si su estructura y reporte admiten una síntesis cuantitativa de eficacia. Revisión sistemática conforme a PRISMA 2020 sobre ocho fuentes —bases bibliográficas y registros de ensayos—, con ventana 2016-2026 donde la interfaz la admite. La unidad de inclusión fue el estudio, no el informe. Extracción por duplicado e independiente, con 539 de 541 desacuerdos adjudicados. El riesgo de sesgo se evaluó por consenso, por dominios, en los 11 comparativos con texto completo (RoB 2, ROBINS-I); no se aplicó GRADE. De 23 057 registros quedaron 17 129 informes únicos; 233 informes formaron 183 estudios evaluados para elegibilidad, de los que 47 se excluyeron: 23 por el artículo, 17 por la ficha del registro y 7 sin poder leer ninguno. Quedan 136 estudios, 94 con publicación recuperable y 70 con texto obtenido (74,5 %). De esos 94, el 44,7 % son reportes de caso único y el 10,6 % tiene diseño comparativo; la categoría de resistencia no puede asignarse desde el resumen en el 75,5 %. En 69 de 102 brazos extraídos (67,6 %) no consta una definición operativa de éxito clínico. Ningún brazo reúne los requisitos aritméticos de una proporción agrupada y los de elegibilidad.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Abstract as a single paragraph (English) — 250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 This work delimits that evidence and determines whether its structure and reporting admit a quantitative synthesis of efficacy. A PRISMA 2020 systematic review across eight sources —bibliographic databases and trial registries—, with a 2016-2026 window where the interface allows it. The unit of inclusion was the study, not the report. Data were extracted in duplicate and independently, with 539 of 541 disagreements adjudicated. Risk of bias was assessed by consensus, by domain, in the 11 comparative studies with full text (RoB 2, ROBINS-I); GRADE was not applied. From 23 057 records, 17 129 unique reports remained; 233 reports formed 183 studies assessed for eligibility, of which 47 were excluded: 23 on the article, 17 on the registry record and 7 without reading either. 136 studies remain, 94 with a retrievable publication and 70 with the text obtained (74.5 %). Of those 94, 44.7 % are single case reports and 10.6 % have a comparative design; resistance category cannot be assigned from the abstract in 75.5 %. In 69 of the 102 extracted arms (67.6 %) no operational definition of clinical success is on record. No arm meets all seven requirements of a pooled proportion; of the 21 meeting the other six, 16 have a single-patient denominator.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Resumen estructurado — hoja de trabajo. El resumen que se envía ya va dentro de manuscrito_JSR_final.docx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