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7 075.</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183 studies and, on reading the full texts, </w:t>
      </w:r>
      <w:r>
        <w:rPr>
          <w:b/>
        </w:rPr>
        <w:t>47 left the corpus</w:t>
      </w:r>
      <w:r>
        <w:t xml:space="preserve"> —protocols, preclinical models, and articles where </w:t>
      </w:r>
      <w:r>
        <w:rPr>
          <w:i/>
        </w:rPr>
        <w:t>P. aeruginosa</w:t>
      </w:r>
      <w:r>
        <w:t xml:space="preserve"> appears only in the product's declared spectrum—, leaving </w:t>
      </w:r>
      <w:r>
        <w:rPr>
          <w:b/>
        </w:rPr>
        <w:t>136</w:t>
      </w:r>
      <w:r>
        <w:t xml:space="preserve">, 94 with a retrievable publication. Single case reports, 44.7 %; comparative, 10.6 %; resistance class unassignable, 75.5 %. Full text was obtained for 70 (74.5 %), and what is missing concentrates 60.0 % of the comparative designs; the language criterion removed 35 studies more. In 69 of the 102 arms (67.6 %)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11 of the 14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102 arms meet the minimum requirements for pooling, and none survives the eligibility criteria. Rating the certainty of a result that does not exist would be a formality, not an assessment [@Guyatt2011_grade].</w:t>
      </w:r>
    </w:p>
    <w:p>
      <w:r>
        <w:t>Section 3.7 reports the 82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Two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136 to 112 studies, comparative designs from 10 to 4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74.5 %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On reading their full texts during extraction, </w:t>
      </w:r>
      <w:r>
        <w:rPr>
          <w:b/>
        </w:rPr>
        <w:t>47 of them left the corpus</w:t>
      </w:r>
      <w:r>
        <w:t xml:space="preserve"> and were excluded; the next subsection details them. The evidence base stands at </w:t>
      </w:r>
      <w:r>
        <w:rPr>
          <w:b/>
        </w:rPr>
        <w:t>136 studies</w:t>
      </w:r>
      <w:r>
        <w:t>, grouping 170 reports: 114 with a single report and 22 with several, up to a maximum of eleven reports of one trial.</w:t>
      </w:r>
    </w:p>
    <w:p>
      <w:pPr>
        <w:pStyle w:val="Heading2"/>
      </w:pPr>
      <w:r>
        <w:t>3.1.1 The 47 studies the screening admitted and that later left</w:t>
      </w:r>
    </w:p>
    <w:p>
      <w:r>
        <w:rPr>
          <w:b/>
        </w:rPr>
        <w:t>Thirty left when judged on their publication.</w:t>
      </w:r>
      <w:r>
        <w:t xml:space="preserve"> They were excluded for eight reasons, and none is a difference of judgement: they are studies that fail what section 2.2 already required. </w:t>
      </w:r>
      <w:r>
        <w:rPr>
          <w:b/>
        </w:rPr>
        <w:t>Twenty-five</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23 are the other side of that limitation, and they are </w:t>
      </w:r>
      <w:r>
        <w:rPr>
          <w:b/>
        </w:rPr>
        <w:t>24.7 %</w:t>
      </w:r>
      <w:r>
        <w:t xml:space="preserve"> of the 93 studies whose full text could be read. It is a floor, not a total: the 31 studies without full text could not be checked against anything.</w:t>
      </w:r>
    </w:p>
    <w:p>
      <w:r>
        <w:rPr>
          <w:b/>
        </w:rPr>
        <w:t>Another 17 studies left by a different route: their registry record.</w:t>
      </w:r>
      <w:r>
        <w:t xml:space="preserve"> The earlier 29 were judged on the article; these have no article.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remain.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Of the 136 studies, </w:t>
      </w:r>
      <w:r>
        <w:rPr>
          <w:b/>
        </w:rPr>
        <w:t>94 have a retrievable publication</w:t>
      </w:r>
      <w:r>
        <w:t xml:space="preserve">: 91 articles and 3 that exist only as conference abstracts. The remaining </w:t>
      </w:r>
      <w:r>
        <w:rPr>
          <w:b/>
        </w:rPr>
        <w:t>42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70 of the 94 retrievable studies (74.5 %)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10 comparative studies, </w:t>
      </w:r>
      <w:r>
        <w:rPr>
          <w:b/>
        </w:rPr>
        <w:t>60.0 %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(44.7 %)</w:t>
      </w:r>
      <w:r>
        <w:t xml:space="preserve">, 18 case series, 13 prospective cohorts, 7 randomised trials, 3 non-randomised trials and 3 retrospective cohorts. A further 8 do not state a recognisable design in the abstract. Comparative designs total </w:t>
      </w:r>
      <w:r>
        <w:rPr>
          <w:b/>
        </w:rPr>
        <w:t>10 studies, 10.6 %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75.5 %</w:t>
      </w:r>
      <w:r>
        <w:t xml:space="preserve"> of studies: 61.7 % do not mention it at all and a further 13.8 %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52.1 %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38.3 %</w:t>
      </w:r>
      <w:r>
        <w:t>.</w:t>
      </w:r>
    </w:p>
    <w:p>
      <w:pPr>
        <w:pStyle w:val="ListBullet"/>
      </w:pPr>
      <w:r>
        <w:t xml:space="preserve">Fulfilment of the </w:t>
      </w:r>
      <w:r>
        <w:rPr>
          <w:b/>
        </w:rPr>
        <w:t>DTR</w:t>
      </w:r>
      <w:r>
        <w:t xml:space="preserve"> criterion (difficult-to-treat resistance) is not stated in </w:t>
      </w:r>
      <w:r>
        <w:rPr>
          <w:b/>
        </w:rPr>
        <w:t>97.9 %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 That category is not merely descriptive: it is the review's population criterion. </w:t>
      </w:r>
      <w:r>
        <w:rPr>
          <w:b/>
        </w:rPr>
        <w:t>In 4 of the 102 arms the declared class falls below the multidrug-resistance threshold</w:t>
      </w:r>
      <w:r>
        <w:t xml:space="preserve"> (EST-001 A, EST-003 B, EST-094 A, EST-108 A). 2 are strata within studies that do include multidrug-resistant patients, and do not compromise the study's eligibility. The other 2 — EST-001 and EST-094 — are single-arm studies, and their only patient is not multidrug-resistant under the reviewers' own coding. Both are kept in the corpus by signed decision of the two authors on 22 September 2026, and are declared here so the reader can discount them.</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102 extracted arms.</w:t>
      </w:r>
    </w:p>
    <w:p>
      <w:r>
        <w:t xml:space="preserve">Completeness is uneven and, at best, partial. Adverse events are the outcome most often reported with a denominator (78.4 % of arms) and emergence of phage resistance the least (27.5 %), despite being the outcome that determines whether the intervention retains its usefulness. Those percentages are computed over all 102 arms and therefore include 24 from studies whose full text has not been retrieved: of an article one has not been able to read, one cannot assert that it is silent. Over the 78 readable arms the figures rise — from 78.4 % to 89.7 % for adverse events, from 27.5 % to 35.9 % for resistance — and Table 5 gives both columns so the reader can separate the literature's silence from this review's own documentary gap. Clinical success, the outcome that published syntheses pool, is reported with numerator and denominator in 68.6 %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68.6 % is misleading, however, if read as availability for pooling. </w:t>
      </w:r>
      <w:r>
        <w:rPr>
          <w:b/>
        </w:rPr>
        <w:t>In 69 of the 102 arms (67.6 %) no operational definition of clinical success is on record</w:t>
      </w:r>
      <w:r>
        <w:t>; over the 78 readable arms, in 45 (57.7 %).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12 of the 102 arms it cannot be classified — 13 where both reviewers agreed on "NA" and 8 still open — so the design counts are floors over the remaining 82. Of those 90, </w:t>
      </w:r>
      <w:r>
        <w:rPr>
          <w:b/>
        </w:rPr>
        <w:t>7 arms are trials</w:t>
      </w:r>
      <w:r>
        <w:t xml:space="preserve"> (randomised or not) and </w:t>
      </w:r>
      <w:r>
        <w:rPr>
          <w:b/>
        </w:rPr>
        <w:t>10 are cohorts</w:t>
      </w:r>
      <w:r>
        <w:t>. Section 3.3 and Table 1 call only the trials comparative, which is why the figure there is 23 studies; when this section says comparative it also includes the cohorts, and there are 17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102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102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1 and some concerns in 2. Of the 8 studies assessed with ROBINS-I, the overall judgement is no information in 1 and serious risk in 7. The domain concentrating most unfavourable judgements —high risk under RoB 2; serious or critical under ROBINS-I— in ROBINS-I is “bias due to confounding”, in 7 of 8. The 82 judgements were issued in a single assessment agreed between the two authors; with no two independent readings, no inter-reviewer agreement is reported.</w:t>
      </w:r>
    </w:p>
    <w:p>
      <w:r>
        <w:rPr>
          <w:b/>
        </w:rPr>
        <w:t>Table 7.</w:t>
      </w:r>
      <w:r>
        <w:t xml:space="preserve"> Domain-level risk of bias for the 11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136 studies against the dozens handled by published reviews, and would have been 218 without the language restriction adopted at the end and without the 47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136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74.5 %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102 arms).</w:t>
      </w:r>
    </w:p>
    <w:p>
      <w:r>
        <w:rPr>
          <w:b/>
        </w:rPr>
        <w:t>Table 6.</w:t>
      </w:r>
      <w:r>
        <w:t xml:space="preserve"> Arms surviving each requirement for a pooled proportion of clinical success (n = 102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Editorial report: what was decided, when, and on what grounds.</w:t>
      </w:r>
    </w:p>
    <w:p>
      <w:pPr>
        <w:pStyle w:val="ListBullet"/>
      </w:pPr>
      <w:r>
        <w:rPr>
          <w:b/>
        </w:rPr>
        <w:t>S1.</w:t>
      </w:r>
      <w:r>
        <w:t xml:space="preserve"> PRISMA 2020 checklist.</w:t>
      </w:r>
    </w:p>
    <w:p>
      <w:pPr>
        <w:pStyle w:val="ListBullet"/>
      </w:pPr>
      <w:r>
        <w:rPr>
          <w:b/>
        </w:rPr>
        <w:t>S2.</w:t>
      </w:r>
      <w:r>
        <w:t xml:space="preserve"> Verbatim search strings by source, with date and number of results.</w:t>
      </w:r>
    </w:p>
    <w:p>
      <w:pPr>
        <w:pStyle w:val="ListBullet"/>
      </w:pPr>
      <w:r>
        <w:rPr>
          <w:b/>
        </w:rPr>
        <w:t>S3.</w:t>
      </w:r>
      <w:r>
        <w:t xml:space="preserve"> Full record of screening decisions, in two files: stage 2 (title) and stage 3 (abstract). Every row carries its coded reason, who issued it and when.</w:t>
      </w:r>
    </w:p>
    <w:p>
      <w:pPr>
        <w:pStyle w:val="ListBullet"/>
      </w:pPr>
      <w:r>
        <w:rPr>
          <w:b/>
        </w:rPr>
        <w:t>S4.</w:t>
      </w:r>
      <w:r>
        <w:t xml:space="preserve"> Pre-extraction from the abstracts of the 94 studies with a retrievable publication, flagged as partial in every record.</w:t>
      </w:r>
    </w:p>
    <w:p>
      <w:pPr>
        <w:pStyle w:val="ListBullet"/>
      </w:pPr>
      <w:r>
        <w:rPr>
          <w:b/>
        </w:rPr>
        <w:t>S5.</w:t>
      </w:r>
      <w:r>
        <w:t xml:space="preserve"> Listing of the 136 studies with their status and grouped reports, and of the 47 excluded after screening, with their reason and supporting quotation.</w:t>
      </w:r>
    </w:p>
    <w:p>
      <w:pPr>
        <w:pStyle w:val="ListBullet"/>
      </w:pPr>
      <w:r>
        <w:rPr>
          <w:b/>
        </w:rPr>
        <w:t>S6.</w:t>
      </w:r>
      <w:r>
        <w:t xml:space="preserve"> Positive-control audit.</w:t>
      </w:r>
    </w:p>
    <w:p>
      <w:pPr>
        <w:pStyle w:val="ListBullet"/>
      </w:pPr>
      <w:r>
        <w:rPr>
          <w:b/>
        </w:rPr>
        <w:t>S7.</w:t>
      </w:r>
      <w:r>
        <w:t xml:space="preserve"> ICMJE declarations.</w:t>
      </w:r>
    </w:p>
    <w:p>
      <w:pPr>
        <w:pStyle w:val="ListBullet"/>
      </w:pPr>
      <w:r>
        <w:rPr>
          <w:b/>
        </w:rPr>
        <w:t>S8.</w:t>
      </w:r>
      <w:r>
        <w:t xml:space="preserve"> Full-text retrieval log: what was attempted for each study and with what result.</w:t>
      </w:r>
    </w:p>
    <w:p>
      <w:pPr>
        <w:pStyle w:val="ListBullet"/>
      </w:pPr>
      <w:r>
        <w:rPr>
          <w:b/>
        </w:rPr>
        <w:t>S9.</w:t>
      </w:r>
      <w:r>
        <w:t xml:space="preserve"> Language by report, with the class of evidence it provided.</w:t>
      </w:r>
    </w:p>
    <w:p>
      <w:pPr>
        <w:pStyle w:val="ListBullet"/>
      </w:pPr>
      <w:r>
        <w:rPr>
          <w:b/>
        </w:rPr>
        <w:t>S10.</w:t>
      </w:r>
      <w:r>
        <w:t xml:space="preserve"> Language verification against the full text of the PDF, not against the metadata.</w:t>
      </w:r>
    </w:p>
    <w:p>
      <w:pPr>
        <w:pStyle w:val="ListBullet"/>
      </w:pPr>
      <w:r>
        <w:rPr>
          <w:b/>
        </w:rPr>
        <w:t>S11.</w:t>
      </w:r>
      <w:r>
        <w:t xml:space="preserve"> Agreement between the two independent extractions, before disagreements were resolved.</w:t>
      </w:r>
    </w:p>
    <w:p>
      <w:pPr>
        <w:pStyle w:val="ListBullet"/>
      </w:pPr>
      <w:r>
        <w:rPr>
          <w:b/>
        </w:rPr>
        <w:t>S12.</w:t>
      </w:r>
      <w:r>
        <w:t xml:space="preserve"> Resolution of extraction conflicts, including those that cannot yet be settled.</w:t>
      </w:r>
    </w:p>
    <w:p>
      <w:pPr>
        <w:pStyle w:val="ListBullet"/>
      </w:pPr>
      <w:r>
        <w:rPr>
          <w:b/>
        </w:rPr>
        <w:t>S13.</w:t>
      </w:r>
      <w:r>
        <w:t xml:space="preserve"> Outcome extraction rules, with their documented correction.</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S16.</w:t>
      </w:r>
      <w:r>
        <w:t xml:space="preserve"> The 47 studies the screening admitted and the full text contradicted, with their reason code and the sentence from the article that supports it.</w:t>
      </w:r>
    </w:p>
    <w:p>
      <w:pPr>
        <w:pStyle w:val="ListBullet"/>
      </w:pPr>
      <w:r>
        <w:rPr>
          <w:b/>
        </w:rPr>
        <w:t>S17.</w:t>
      </w:r>
      <w:r>
        <w:t xml:space="preserve"> Table 6 broken down: the seven requirements, arm by arm over the 102 arms, with the first one that fails and why.</w:t>
      </w:r>
    </w:p>
    <w:p>
      <w:pPr>
        <w:pStyle w:val="ListBullet"/>
      </w:pPr>
      <w:r>
        <w:rPr>
          <w:b/>
        </w:rPr>
        <w:t>S18.</w:t>
      </w:r>
      <w:r>
        <w:t xml:space="preserve"> The 82 risk-of-bias judgements, one per row, with the signed sentence supporting each.</w:t>
      </w:r>
    </w:p>
    <w:p>
      <w:pPr>
        <w:pStyle w:val="ListBullet"/>
      </w:pPr>
      <w:r>
        <w:rPr>
          <w:b/>
        </w:rPr>
        <w:t>S18b.</w:t>
      </w:r>
      <w:r>
        <w:t xml:space="preserve"> Sentences harvested from the articles by theme, which accompany but do not replace the signed one.</w:t>
      </w:r>
    </w:p>
    <w:p>
      <w:pPr>
        <w:pStyle w:val="ListBullet"/>
      </w:pPr>
      <w:r>
        <w:rPr>
          <w:b/>
        </w:rPr>
        <w:t>S19.</w:t>
      </w:r>
      <w:r>
        <w:t xml:space="preserve"> Which model issued the screening decisions, when, over which files, what the authors verified and what was NOT recorded, flagged as missing data.</w:t>
      </w:r>
    </w:p>
    <w:p>
      <w:pPr>
        <w:pStyle w:val="ListBullet"/>
      </w:pPr>
      <w:r>
        <w:rPr>
          <w:b/>
        </w:rPr>
        <w:t>S20.</w:t>
      </w:r>
      <w:r>
        <w:t xml:space="preserve"> Which report each of the 102 arms came from, and with what evidence the link was established.</w:t>
      </w:r>
    </w:p>
    <w:p>
      <w:pPr>
        <w:pStyle w:val="ListBullet"/>
      </w:pPr>
      <w:r>
        <w:rPr>
          <w:b/>
        </w:rPr>
        <w:t>S21.</w:t>
      </w:r>
      <w:r>
        <w:t xml:space="preserve"> Pairs of studies that may describe the same patients, with the signal that flagged them and the verbatim sentence.</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