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7 724.</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183 estudios y, al leer los textos completos, </w:t>
      </w:r>
      <w:r>
        <w:rPr>
          <w:b/>
        </w:rPr>
        <w:t>47 salieron del corpus</w:t>
      </w:r>
      <w:r>
        <w:t xml:space="preserve"> —protocolos, modelos preclínicos, y artículos donde </w:t>
      </w:r>
      <w:r>
        <w:rPr>
          <w:i/>
        </w:rPr>
        <w:t>P. aeruginosa</w:t>
      </w:r>
      <w:r>
        <w:t xml:space="preserve"> solo figura en el espectro del producto—: quedan </w:t>
      </w:r>
      <w:r>
        <w:rPr>
          <w:b/>
        </w:rPr>
        <w:t>136</w:t>
      </w:r>
      <w:r>
        <w:t xml:space="preserve">, 94 con publicación recuperable. Casos únicos, 44,7 %; comparativos, 10,6 %; sin clase de resistencia asignable, 75,5 %. Se obtuvo el texto completo de 70 (74,5 %), y lo que falta concentra el 60,0 % de los comparativos; el criterio de idioma eliminó 35 estudios más. En 69 de los 102 brazos (67,6 %)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—94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t>La caracterización estructural del corpus (secciones 3.1 a 3.4, tablas 1 a 4) procede de una pre-extracción sistemática desde el resumen de los 94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14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102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136 a 112 estudios, los comparativos de 10 a 4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74,5 %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Al leer sus textos completos durante la extracción se comprobó que </w:t>
      </w:r>
      <w:r>
        <w:rPr>
          <w:b/>
        </w:rPr>
        <w:t>47 de ellos salieron del corpus</w:t>
      </w:r>
      <w:r>
        <w:t xml:space="preserve">, y se excluyeron; el apartado siguiente los detalla. El cuerpo de evidencia queda en </w:t>
      </w:r>
      <w:r>
        <w:rPr>
          <w:b/>
        </w:rPr>
        <w:t>136 estudios</w:t>
      </w:r>
      <w:r>
        <w:t>, que agrupan 170 informes: 114 con un solo informe y 22 con varios, hasta un máximo de once informes de un mismo ensayo.</w:t>
      </w:r>
    </w:p>
    <w:p>
      <w:pPr>
        <w:pStyle w:val="Heading2"/>
      </w:pPr>
      <w:r>
        <w:t>3.1.1 Los 47 estudios que el cribado admitió y que salieron después</w:t>
      </w:r>
    </w:p>
    <w:p>
      <w:r>
        <w:rPr>
          <w:b/>
        </w:rPr>
        <w:t>Treinta salieron al juzgarlos sobre su publicación.</w:t>
      </w:r>
      <w:r>
        <w:t xml:space="preserve"> Se excluyeron por ocho motivos, y ninguno es una discrepancia de criterio: son estudios que no cumplen lo que la sección 2.2 ya exigía. </w:t>
      </w:r>
      <w:r>
        <w:rPr>
          <w:b/>
        </w:rPr>
        <w:t>Veinticinco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23 son la otra cara de esa limitación, y son el </w:t>
      </w:r>
      <w:r>
        <w:rPr>
          <w:b/>
        </w:rPr>
        <w:t>24,7 %</w:t>
      </w:r>
      <w:r>
        <w:t xml:space="preserve"> de los 93 estudios cuyo texto completo se pudo leer. Es un suelo, no un total: los 31 estudios sin texto completo no se han podido comprobar contra nada.</w:t>
      </w:r>
    </w:p>
    <w:p>
      <w:r>
        <w:rPr>
          <w:b/>
        </w:rPr>
        <w:t>Otros 17 estudios salieron por una vía distinta: la ficha de su registro.</w:t>
      </w:r>
      <w:r>
        <w:t xml:space="preserve"> Los 29 anteriores se juzgaron sobre el artículo; estos no tienen artículo.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se quedan.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De los 136 estudios, </w:t>
      </w:r>
      <w:r>
        <w:rPr>
          <w:b/>
        </w:rPr>
        <w:t>94 tienen publicación recuperable</w:t>
      </w:r>
      <w:r>
        <w:t xml:space="preserve">: 91 artículos y 3 que solo existen como resumen de congreso. Los </w:t>
      </w:r>
      <w:r>
        <w:rPr>
          <w:b/>
        </w:rPr>
        <w:t>42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70 de los 94 estudios recuperables (74,5 %)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10 estudios comparativos, el </w:t>
      </w:r>
      <w:r>
        <w:rPr>
          <w:b/>
        </w:rPr>
        <w:t>60,0 %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(44,7 %)</w:t>
      </w:r>
      <w:r>
        <w:t xml:space="preserve">, 18 series de casos, 13 cohortes prospectivas, 7 ensayos aleatorizados, 3 ensayos no aleatorizados y 3 cohortes retrospectivas. Otros 8 no declaran su diseño de forma reconocible en el resumen. Los comparativos suman </w:t>
      </w:r>
      <w:r>
        <w:rPr>
          <w:b/>
        </w:rPr>
        <w:t>10 estudios, el 10,6 %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75,5 %</w:t>
      </w:r>
      <w:r>
        <w:t xml:space="preserve"> de los estudios: el 61,7 % no la menciona en absoluto y un 13,8 %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52,1 %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38,3 %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 Esa categoría no es solo descriptiva: es el criterio de población de la revisión. </w:t>
      </w:r>
      <w:r>
        <w:rPr>
          <w:b/>
        </w:rPr>
        <w:t>En 4 de los 102 brazos la clase declarada queda por debajo del umbral de multirresistencia</w:t>
      </w:r>
      <w:r>
        <w:t xml:space="preserve"> (EST-001 A, EST-003 B, EST-094 A, EST-108 A). 2 son estratos dentro de estudios que sí incluyen pacientes multirresistentes, y no comprometen la elegibilidad del estudio. Los otros 2 —EST-001 y EST-094— son estudios de un solo brazo, y su único paciente no es multirresistente según la codificación de los propios revisores. Los dos se mantienen en el corpus por decisión firmada de los dos autores el 22 de septiembre de 2026, y se declaran aquí para que el lector pueda descontarlos.</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102 brazos del corpus vigente.</w:t>
      </w:r>
    </w:p>
    <w:p>
      <w:r>
        <w:t xml:space="preserve">La completitud es desigual y, en el mejor de los casos, parcial. Los eventos adversos son lo que más se reporta con denominador (78,4 % de los brazos) y la emergencia de resistencia al fago lo que menos (27,5 %), pese a ser el desenlace que decide si la intervención conserva su utilidad. Esos porcentajes se calculan sobre los 102 brazos, e incluyen por tanto 24 de estudios cuyo texto completo no se ha recuperado: de un artículo que no se ha podido leer no cabe afirmar que calle. Sobre los 78 brazos legibles las cifras suben —del 78,4 % al 89,7 % en eventos adversos, del 27,5 % al 35,9 % en resistencia—, y la tabla 5 da las dos columnas para que el lector distinga el silencio de la literatura del hueco documental de esta revisión. El éxito clínico, que es el que las síntesis publicadas agregan, consta con numerador y denominador en el 68,6 %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68,6 % es, sin embargo, engañoso si se lee como disponibilidad para agregar. </w:t>
      </w:r>
      <w:r>
        <w:rPr>
          <w:b/>
        </w:rPr>
        <w:t>En 69 de los 102 brazos (67,6 %) no consta una definición operativa de éxito clínico</w:t>
      </w:r>
      <w:r>
        <w:t>; sobre los 78 brazos legibles, en 45 (57,7 %).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102 brazos no puede clasificarse —12 en que los dos revisores acordaron «NA» y 7 que siguen abiertos—, de modo que los recuentos por diseño son suelos sobre los 84 restantes. De esos 90, </w:t>
      </w:r>
      <w:r>
        <w:rPr>
          <w:b/>
        </w:rPr>
        <w:t>7 brazos son ensayos</w:t>
      </w:r>
      <w:r>
        <w:t xml:space="preserve"> (aleatorizados o no) y </w:t>
      </w:r>
      <w:r>
        <w:rPr>
          <w:b/>
        </w:rPr>
        <w:t>10 son cohortes</w:t>
      </w:r>
      <w:r>
        <w:t>. La sección 3.3 y la tabla 1 llaman «comparativos» solo a los ensayos, y por eso allí la cifra es 11 estudios: cuando en esta sección se dice «comparativo» se incluyen también las cohortes, y son 17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102</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102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1 y de algunas preocupaciones en 2. De los 8 estudios evaluados con ROBINS-I, el juicio global es sin información para juzgar en 1 y de riesgo grave en 7. El dominio que más juicios desfavorables concentra en ROBINS-I —alto riesgo en RoB 2; grave o crítico en ROBINS-I— es «sesgo por confusión», con 7 de 8. Los 82 juicios se emitieron en una evaluación única acordada entre los dos autores; al no haber dos lecturas independientes, no se reporta concordancia entre revisores.</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136 estudios frente a las decenas que manejan las revisiones publicadas, y habrían sido 218 sin la restricción de idioma que se adoptó al final y sin los 47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136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74,5 %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102 brazos).</w:t>
      </w:r>
    </w:p>
    <w:p>
      <w:r>
        <w:rPr>
          <w:b/>
        </w:rPr>
        <w:t>Tabla 6.</w:t>
      </w:r>
      <w:r>
        <w:t xml:space="preserve"> Brazos que sobreviven a cada requisito de una proporción agrupada de éxito clínico (n = 102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cuándo.</w:t>
      </w:r>
    </w:p>
    <w:p>
      <w:pPr>
        <w:pStyle w:val="ListBullet"/>
      </w:pPr>
      <w:r>
        <w:rPr>
          <w:b/>
        </w:rPr>
        <w:t>S4.</w:t>
      </w:r>
      <w:r>
        <w:t xml:space="preserve"> Pre-extracción desde el resumen de los 94 estudios con publicación recuperable, marcada como parcial en cada registro.</w:t>
      </w:r>
    </w:p>
    <w:p>
      <w:pPr>
        <w:pStyle w:val="ListBullet"/>
      </w:pPr>
      <w:r>
        <w:rPr>
          <w:b/>
        </w:rPr>
        <w:t>S5.</w:t>
      </w:r>
      <w:r>
        <w:t xml:space="preserve"> Listado de los 136 estudios con su situación y sus informes agrupados, y de los 47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S16.</w:t>
      </w:r>
      <w:r>
        <w:t xml:space="preserve"> Los 47 estudios que el cribado admitió y el texto completo desmintió, con su código de motivo y la frase del artículo que lo sostiene.</w:t>
      </w:r>
    </w:p>
    <w:p>
      <w:pPr>
        <w:pStyle w:val="ListBullet"/>
      </w:pPr>
      <w:r>
        <w:rPr>
          <w:b/>
        </w:rPr>
        <w:t>S17.</w:t>
      </w:r>
      <w:r>
        <w:t xml:space="preserve"> La Tabla 6 desglosada: los siete requisitos, brazo a brazo sobre los 102 brazos, con el primero que falla y por qué.</w:t>
      </w:r>
    </w:p>
    <w:p>
      <w:pPr>
        <w:pStyle w:val="ListBullet"/>
      </w:pPr>
      <w:r>
        <w:rPr>
          <w:b/>
        </w:rPr>
        <w:t>S18.</w:t>
      </w:r>
      <w:r>
        <w:t xml:space="preserve"> Los 82 juicios de riesgo de sesgo, uno por fila, con la frase firmada en que se apoya cada uno.</w:t>
      </w:r>
    </w:p>
    <w:p>
      <w:pPr>
        <w:pStyle w:val="ListBullet"/>
      </w:pPr>
      <w:r>
        <w:rPr>
          <w:b/>
        </w:rPr>
        <w:t>S18b.</w:t>
      </w:r>
      <w:r>
        <w:t xml:space="preserve"> Las frases del artículo cosechadas por tema, que acompañan pero no sustituyen a la firmada.</w:t>
      </w:r>
    </w:p>
    <w:p>
      <w:pPr>
        <w:pStyle w:val="ListBullet"/>
      </w:pPr>
      <w:r>
        <w:rPr>
          <w:b/>
        </w:rPr>
        <w:t>S19.</w:t>
      </w:r>
      <w:r>
        <w:t xml:space="preserve"> Qué modelo emitió las decisiones de cribado, cuándo, sobre qué ficheros, qué verificaron los autores y qué NO quedó registrado, marcado como dato faltante.</w:t>
      </w:r>
    </w:p>
    <w:p>
      <w:pPr>
        <w:pStyle w:val="ListBullet"/>
      </w:pPr>
      <w:r>
        <w:rPr>
          <w:b/>
        </w:rPr>
        <w:t>S20.</w:t>
      </w:r>
      <w:r>
        <w:t xml:space="preserve"> De qué informe salió cada uno de los 102 brazos, y con qué prueba se estableció el vínculo.</w:t>
      </w:r>
    </w:p>
    <w:p>
      <w:pPr>
        <w:pStyle w:val="ListBullet"/>
      </w:pPr>
      <w:r>
        <w:rPr>
          <w:b/>
        </w:rPr>
        <w:t>S21.</w:t>
      </w:r>
      <w:r>
        <w:t xml:space="preserve"> Los pares de estudios que pueden describir a los mismos pacientes, con la señal que los marcó y la frase literal.</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