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359; main text 5 226.</w:t>
      </w:r>
    </w:p>
    <w:p>
      <w:r>
        <w:rPr>
          <w:b/>
        </w:rPr>
        <w:t>Tables:</w:t>
      </w:r>
      <w:r>
        <w:t xml:space="preserve"> 5.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Eight databases and registers were searched, including the regional databases BVS and SciELO, over a publication window of 2016 to 2026 applied in the sources that admit it. Only reports in English or Spanish were eligible, a criterion adopted after screening closed and verified report by report, including against the full text of every retrieved PDF. The unit of inclusion was the study, not the report. Data extraction was performed by hand, in duplicate and independently, with disagreements resolved by consensus. The structural characterisation derives from a systematic pre-extraction from the abstracts; the reporting completeness per outcome, from the adjudicated extraction.</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93 studies (75.0 %); the remaining fraction concentrates 47.8 % of the comparative designs. The language criterion removed 35 studies, 18 of them comparative. In 89 of the 132 extracted arms (67.4 %) no operational definition of clinical success is on record, and only 3 combine comparative design, numerator, denominator and a definition; one of those 3 measures time, not a proportion.</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124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Those percentages are computed over all 132 arms and therefore include 31 from studies whose full text has not been retrieved: of an article one has not been able to read, one cannot assert that it is silent. Over the 101 readable arms the figures rise — from 73.5 % to 84.2 % for adverse events, from 24.2 % to 31.7 % for resistance — and Table 5 gives both columns so the reader can separate the literature's silence from this review's own documentary gap. Clinical success, the outcome that published syntheses pool, is reported with numerator and denominator in 62.9 % of arms. Two arms report a numerator larger than their denominator — thirteen clinical successes in one patient, and five adverse events in four — and are flagged as reporting errors, not read as proportions.</w:t>
      </w:r>
    </w:p>
    <w:p>
      <w:r>
        <w:t xml:space="preserve">That 62.9 % is misleading, however, if read as availability for pooling. </w:t>
      </w:r>
      <w:r>
        <w:rPr>
          <w:b/>
        </w:rPr>
        <w:t>In 89 of the 132 arms (67.4 %) no operational definition of clinical success is on record.</w:t>
      </w:r>
      <w:r>
        <w:t xml:space="preserve"> In 60 of them the reviewers established this by reading the article: 58 state a number of patients with a "good outcome" without saying what had to be observed to count one, and 2 left the field empty. In the remaining 29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Study design is not always on record either: in 30 of the 132 arms it cannot be classified — 20 where both reviewers agreed on "NA" and 10 still open — so the design counts are floors over the remaining 102. Of those 102, 24 arms are comparative.</w:t>
      </w:r>
    </w:p>
    <w:p>
      <w:r>
        <w:t xml:space="preserve">Crossing the four requirements a pooled proportion would demand — comparative design, numerator, denominator and an operational definition of the outcome — leaves </w:t>
      </w:r>
      <w:r>
        <w:rPr>
          <w:b/>
        </w:rPr>
        <w:t>3 of the 132 arms</w:t>
      </w:r>
      <w:r>
        <w:t xml:space="preserve">. And one of the three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Two remain.</w:t>
      </w:r>
      <w:r>
        <w:t xml:space="preserve"> And the two define success differently: one as the absence or resolution of a six-sign clinical syndrome without ventilator-associated pneumonia; the other as relief of symptoms "regardless of whether the bacteria was detected". No two define the same thing because there are no two.</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five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132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