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verifiability</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6 374.</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29 left the corpus</w:t>
      </w:r>
      <w:r>
        <w:t xml:space="preserve"> —protocols, preclinical models, and articles where </w:t>
      </w:r>
      <w:r>
        <w:rPr>
          <w:i/>
        </w:rPr>
        <w:t>P. aeruginosa</w:t>
      </w:r>
      <w:r>
        <w:t xml:space="preserve"> appears only in the product's declared spectrum—, leaving </w:t>
      </w:r>
      <w:r>
        <w:rPr>
          <w:b/>
        </w:rPr>
        <w:t>155</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12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155 to 131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29 of them left the corpus</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Twenty-nine studies the screening admitted and that later left</w:t>
      </w:r>
    </w:p>
    <w:p>
      <w:r>
        <w:t xml:space="preserve">The 29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155 studies, </w:t>
      </w:r>
      <w:r>
        <w:rPr>
          <w:b/>
        </w:rPr>
        <w:t>95 have a retrievable publication</w:t>
      </w:r>
      <w:r>
        <w:t xml:space="preserve">: 92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(77.7 %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19 of the 103 arms it cannot be classified — 13 where both reviewers agreed on "NA" and 8 still open — so the design counts are floors over the remaining 82. Of those 84, </w:t>
      </w:r>
      <w:r>
        <w:rPr>
          <w:b/>
        </w:rPr>
        <w:t>7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16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8 studies assessed with ROBINS-I, the overall judgement is moderate risk in 2 and serious risk in 6. The domain concentrating most unfavourable judgements —high risk under RoB 2; serious or critical under ROBINS-I— in ROBINS-I is “bias due to confounding”, in 6 of 8. The 82 judgements were issued in a single assessment agreed between the two authors; with no two independent readings, no inter-reviewer agreement is reported.</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155 studies against the dozens handled by published reviews, and would have been 219 without the language restriction adopted at the end and without the 29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