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11 de agosto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los desacuerdos de la extracción no estén adjudicados: la extracción por duplicado sí está hecha (122 de 124 estudios), pero 14 de los 541 desacuerdos siguen sin firmar, y hasta entonces ninguna cifra de desenlace puede apoyarse en los cuadernos.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nueve fuentes en dos corrientes,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52 estudios con PDF, contra el texto completo. Esa comprobación detectó dos estudios cuyos metadatos declaraban inglés y cuyo artículo está en ruso, que se excluyeron: sin abrir el PDF se habrían quedado dentro. Los 201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162</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102</w:t>
            </w:r>
          </w:p>
        </w:tc>
      </w:tr>
      <w:tr>
        <w:tc>
          <w:tcPr>
            <w:tcW w:type="dxa" w:w="3969"/>
          </w:tcPr>
          <w:p>
            <w:r/>
            <w:r>
              <w:rPr>
                <w:sz w:val="18"/>
              </w:rPr>
              <w:t>Diseños comparativos</w:t>
            </w:r>
          </w:p>
        </w:tc>
        <w:tc>
          <w:tcPr>
            <w:tcW w:type="dxa" w:w="2494"/>
          </w:tcPr>
          <w:p>
            <w:r/>
            <w:r>
              <w:rPr>
                <w:sz w:val="18"/>
              </w:rPr>
              <w:t>41</w:t>
            </w:r>
          </w:p>
        </w:tc>
        <w:tc>
          <w:tcPr>
            <w:tcW w:type="dxa" w:w="2494"/>
          </w:tcPr>
          <w:p>
            <w:r/>
            <w:r>
              <w:rPr>
                <w:sz w:val="18"/>
              </w:rPr>
              <w:t>16</w:t>
            </w:r>
          </w:p>
        </w:tc>
      </w:tr>
      <w:tr>
        <w:tc>
          <w:tcPr>
            <w:tcW w:type="dxa" w:w="3969"/>
          </w:tcPr>
          <w:p>
            <w:r/>
            <w:r>
              <w:rPr>
                <w:sz w:val="18"/>
              </w:rPr>
              <w:t>Ensayos aleatorizados</w:t>
            </w:r>
          </w:p>
        </w:tc>
        <w:tc>
          <w:tcPr>
            <w:tcW w:type="dxa" w:w="2494"/>
          </w:tcPr>
          <w:p>
            <w:r/>
            <w:r>
              <w:rPr>
                <w:sz w:val="18"/>
              </w:rPr>
              <w:t>21</w:t>
            </w:r>
          </w:p>
        </w:tc>
        <w:tc>
          <w:tcPr>
            <w:tcW w:type="dxa" w:w="2494"/>
          </w:tcPr>
          <w:p>
            <w:r/>
            <w:r>
              <w:rPr>
                <w:sz w:val="18"/>
              </w:rPr>
              <w:t>11</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7</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La extracción por duplicado está completa (122 de 124 estudios, 98 %), pero 14 de los 541 desacuerdos siguen sin firmar. Hasta que se firmen no hay desenlaces, ni riesgo de sesgo, ni GRADE, porque ninguna cifra puede apoyarse todavía en los cuadernos.</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69,6 % obtenido sigue siendo insuficiente y, sobre todo, sesgado: la fracción faltante concentra el 68,8 %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31 textos completos que faltan para que el manuscrito resista la revisión. Los 16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describe con precisión lo que el trabajo hace, pero es largo. Considerar «Phage therapy for multidrug-resistant Pseudomonas aeruginosa: how verifiable is the clinical evidence base?».</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102 estudios y dos revisores.</w:t>
            </w:r>
          </w:p>
        </w:tc>
      </w:tr>
      <w:tr>
        <w:tc>
          <w:tcPr>
            <w:tcW w:type="dxa" w:w="2381"/>
          </w:tcPr>
          <w:p>
            <w:r/>
            <w:r>
              <w:rPr>
                <w:sz w:val="18"/>
              </w:rPr>
              <w:t>B. Enviar como está, reencuadrado</w:t>
            </w:r>
          </w:p>
        </w:tc>
        <w:tc>
          <w:tcPr>
            <w:tcW w:type="dxa" w:w="3628"/>
          </w:tcPr>
          <w:p>
            <w:r/>
            <w:r>
              <w:rPr>
                <w:sz w:val="18"/>
              </w:rPr>
              <w:t>Revisión sistemática de la estructura y verificabilidad del cuerpo de evidencia,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