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282; main text 5 766.</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22 did not meet the criteria</w:t>
      </w:r>
      <w:r>
        <w:t xml:space="preserve"> —protocols, preclinical models, and articles where </w:t>
      </w:r>
      <w:r>
        <w:rPr>
          <w:i/>
        </w:rPr>
        <w:t>P. aeruginosa</w:t>
      </w:r>
      <w:r>
        <w:t xml:space="preserve"> appears only in the product's declared spectrum—, leaving </w:t>
      </w:r>
      <w:r>
        <w:rPr>
          <w:b/>
        </w:rPr>
        <w:t>162</w:t>
      </w:r>
      <w:r>
        <w:t xml:space="preserve">, 102 with a retrievable publication. Single case reports, 42.2 %; comparative, 15.7 %; resistance class unassignable, 77.5 %. Full text was obtained for 71 (69.6 %), and what is missing concentrates 68.8 % of the comparative designs; the language criterion removed 35 studies more. In 75 of the 110 arms (68.2 %)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—102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102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31 of the 102 studies with a retrievable publication still lack full text (section 3.2), so an assessment made today would omit a non-random fraction of the corpus. As for GRADE, it rates the certainty of a pooled estimate, and this review presents none: section 3.5 shows that only 2 of the 110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22 of them did not meet the criteria of section 2.2</w:t>
      </w:r>
      <w:r>
        <w:t xml:space="preserve"> and were excluded; the next subsection details them. The evidence base stands at </w:t>
      </w:r>
      <w:r>
        <w:rPr>
          <w:b/>
        </w:rPr>
        <w:t>162 studies</w:t>
      </w:r>
      <w:r>
        <w:t>, grouping 201 reports: 138 with a single report and 24 with several, up to a maximum of eleven reports of one trial.</w:t>
      </w:r>
    </w:p>
    <w:p>
      <w:pPr>
        <w:pStyle w:val="Heading2"/>
      </w:pPr>
      <w:r>
        <w:t>3.1.1 Twenty-two studies the screening admitted and the full text refuted</w:t>
      </w:r>
    </w:p>
    <w:p>
      <w:r>
        <w:t xml:space="preserve">The 22 were excluded for six reasons, and none is a difference of judgement: they are studies that fail what section 2.2 already required. </w:t>
      </w:r>
      <w:r>
        <w:rPr>
          <w:b/>
        </w:rPr>
        <w:t>Ten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One</w:t>
      </w:r>
      <w:r>
        <w:t xml:space="preserve"> is an opinion piece with a narrative review.</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162 studies, </w:t>
      </w:r>
      <w:r>
        <w:rPr>
          <w:b/>
        </w:rPr>
        <w:t>102 have a retrievable publication</w:t>
      </w:r>
      <w:r>
        <w:t xml:space="preserve">: 99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102 retrievable studies (69.6 %)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16 comparative studies, </w:t>
      </w:r>
      <w:r>
        <w:rPr>
          <w:b/>
        </w:rPr>
        <w:t>68.8 %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102 retrievable studies were published between </w:t>
      </w:r>
      <w:r>
        <w:rPr>
          <w:b/>
        </w:rPr>
        <w:t>2016 and 2026</w:t>
      </w:r>
      <w:r>
        <w:t xml:space="preserve">, and </w:t>
      </w:r>
      <w:r>
        <w:rPr>
          <w:b/>
        </w:rPr>
        <w:t>80.4 %</w:t>
      </w:r>
      <w:r>
        <w:t xml:space="preserve"> since 2020. This is a young and rapidly expanding evidence base (Table 1).</w:t>
      </w:r>
    </w:p>
    <w:p>
      <w:r>
        <w:t xml:space="preserve">Its composition by design is what a rescue literature produces, not what a synthesis of efficacy needs: </w:t>
      </w:r>
      <w:r>
        <w:rPr>
          <w:b/>
        </w:rPr>
        <w:t>43 single case reports (42.2 %)</w:t>
      </w:r>
      <w:r>
        <w:t xml:space="preserve">, 18 case series, 13 prospective cohorts, 11 randomised trials, 5 non-randomised trials and 3 retrospective cohorts. A further 9 do not state a recognisable design in the abstract. Comparative designs total </w:t>
      </w:r>
      <w:r>
        <w:rPr>
          <w:b/>
        </w:rPr>
        <w:t>16 studies, 15.7 %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77.5 %</w:t>
      </w:r>
      <w:r>
        <w:t xml:space="preserve"> of studies: 64.7 % do not mention it at all and a further 12.7 %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52.9 %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43.1 %</w:t>
      </w:r>
      <w:r>
        <w:t>.</w:t>
      </w:r>
    </w:p>
    <w:p>
      <w:pPr>
        <w:pStyle w:val="ListBullet"/>
      </w:pPr>
      <w:r>
        <w:t xml:space="preserve">Fulfilment of the </w:t>
      </w:r>
      <w:r>
        <w:rPr>
          <w:b/>
        </w:rPr>
        <w:t>DTR</w:t>
      </w:r>
      <w:r>
        <w:t xml:space="preserve"> criterion (difficult-to-treat resistance) is not stated in </w:t>
      </w:r>
      <w:r>
        <w:rPr>
          <w:b/>
        </w:rPr>
        <w:t>98.0 %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(74.5 % of arms) and emergence of phage resistance the least (25.5 %), despite being the outcome that determines whether the intervention retains its usefulness. Those percentages are computed over all 110 arms and therefore include 31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63.6 % of arms. Two arms report a numerator larger than their denominator — thirteen clinical successes in one patient, and five adverse events in four — and are flagged as reporting errors, not read as proportions.</w:t>
      </w:r>
    </w:p>
    <w:p>
      <w:r>
        <w:t xml:space="preserve">That 63.6 % is misleading, however, if read as availability for pooling. </w:t>
      </w:r>
      <w:r>
        <w:rPr>
          <w:b/>
        </w:rPr>
        <w:t>In 75 of the 110 arms (68.2 %)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27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27 of the 110 arms it cannot be classified — 20 where both reviewers agreed on "NA" and 10 still open — so the design counts are floors over the remaining 102. Of those 83, </w:t>
      </w:r>
      <w:r>
        <w:rPr>
          <w:b/>
        </w:rPr>
        <w:t>8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17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110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110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162 studies against the dozens handled by published reviews, and would have been 219 without the language restriction adopted at the end and without the 22 that re-reading the full texts refuted.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162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69.6 %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102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110 arms).</w:t>
      </w:r>
    </w:p>
    <w:p>
      <w:r>
        <w:rPr>
          <w:b/>
        </w:rPr>
        <w:t>Table 6.</w:t>
      </w:r>
      <w:r>
        <w:t xml:space="preserve"> Arms surviving each requirement for a pooled proportion of clinical success (n = 110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102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102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