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264; texto principal 6 164.</w:t>
      </w:r>
    </w:p>
    <w:p>
      <w:r>
        <w:rPr>
          <w:b/>
        </w:rPr>
        <w:t>Tablas:</w:t>
      </w:r>
      <w:r>
        <w:t xml:space="preserve"> 6. </w:t>
      </w:r>
      <w:r>
        <w:rPr>
          <w:b/>
        </w:rPr>
        <w:t>Figuras:</w:t>
      </w:r>
      <w:r>
        <w:t xml:space="preserve"> 2. </w:t>
      </w:r>
      <w:r>
        <w:rPr>
          <w:b/>
        </w:rPr>
        <w:t>Material suplementario:</w:t>
      </w:r>
      <w:r>
        <w:t xml:space="preserve"> 16 anexos (S0–S15)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Extracción manual por duplicado, con consenso: la estructura sale de una pre-extracción desde el resumen; los desenlaces, de la adjudicada.</w:t>
      </w:r>
    </w:p>
    <w:p>
      <w:r>
        <w:rPr>
          <w:b/>
        </w:rPr>
        <w:t>Resultados.</w:t>
      </w:r>
      <w:r>
        <w:t xml:space="preserve"> De 23 057 registros quedaron 17 129 informes únicos;233 informes formaron 184 estudios y, al leer los textos completos, </w:t>
      </w:r>
      <w:r>
        <w:rPr>
          <w:b/>
        </w:rPr>
        <w:t>22 no cumplían los criterios</w:t>
      </w:r>
      <w:r>
        <w:t xml:space="preserve"> —protocolos, modelos preclínicos, y artículos donde </w:t>
      </w:r>
      <w:r>
        <w:rPr>
          <w:i/>
        </w:rPr>
        <w:t>P. aeruginosa</w:t>
      </w:r>
      <w:r>
        <w:t xml:space="preserve"> solo figura en el espectro del producto—: quedan </w:t>
      </w:r>
      <w:r>
        <w:rPr>
          <w:b/>
        </w:rPr>
        <w:t>162</w:t>
      </w:r>
      <w:r>
        <w:t xml:space="preserve">, 102 con publicación recuperable. Casos únicos, 42,2 %; comparativos, 15,7 %; sin clase de resistencia asignable, 77,5 %. Se obtuvo el texto completo de 71 (69,6 %), y lo que falta concentra el 68,8 % de los comparativos; el criterio de idioma eliminó 35 estudios más. En 75 de los 110 brazos (68,2 %) no consta definición operativa del éxito clínico, y solo 2 reúnen diseño comparativo, numerador, denominador y definición. Descontado el que mide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43 estudios que declaran procedencia, 20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la realizaron los dos revisores a mano y sin intervención del modelo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23 variables de datos y vocabularios controlados, se piloteó sobre cinco estudios antes de su uso. La extracción se hizo </w:t>
      </w:r>
      <w:r>
        <w:rPr>
          <w:b/>
        </w:rPr>
        <w:t>por duplicado e independiente</w:t>
      </w:r>
      <w:r>
        <w:t xml:space="preserve"> entre los dos revisores. Un revisor extrajo los 124 estudios que entonces tenían publicación recuperable —102 tras las exclusiones de la sección 3.1.1— y el segundo extrajo 122 de ellos, de modo que el 98 % del corpus tiene doble extracción.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Las discrepancias se resolvieron por consenso entre los dos revisores, con registro de quién resolvió y cuándo: hay 525 de 541 adjudicadas. De las 16 restantes, 2 se habían cerrado antes aplicando una regla mecánica sobre una comparación posteriormente rehecha y no llevan firma conjunta, y 14 siguen abiertas: 10 porque el formulario no ofrecía la opción «no derivable» en los campos donde los revisores la necesitaban, y 4 por datos que exigen releer el artículo. El registro completo, resuelto a resuelto, se aporta como suplemento.</w:t>
      </w:r>
    </w:p>
    <w:p>
      <w:r>
        <w:t xml:space="preserve">La caracterización estructural del corpus (secciones 3.1 a 3.4, tablas 1 a 4) procede de una pre-extracción sistemática desde el resumen de los 102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y su </w:t>
      </w:r>
      <w:r>
        <w:rPr>
          <w:b/>
        </w:rPr>
        <w:t>verificabilidad</w:t>
      </w:r>
      <w:r>
        <w:t>, con tres componentes medidos —la recuperabilidad del informe (secciones 3.1 y 3.2), la completitud de reporte estructural (sección 3.4) y la completitud de reporte de desenlaces (sección 3.5)—.</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w:t>
      </w:r>
    </w:p>
    <w:p>
      <w:r>
        <w:rPr>
          <w:b/>
        </w:rPr>
        <w:t>Ninguna de las dos evaluaciones se ha realizado, y esta revisión no las reporta.</w:t>
      </w:r>
      <w:r>
        <w:t xml:space="preserve"> Los motivos son concretos y conviene declararlos por separado. El riesgo de sesgo exige que los dos revisores lean cada artículo y emitan un juicio por dominio; queda pendiente y no se sustituye por ningún indicador derivado del diseño, que no es lo mismo. Además, 31 de los 102 estudios con publicación recuperable siguen sin texto completo (sección 3.2), de modo que una evaluación hecha hoy dejaría fuera a una fracción no aleatoria del corpus. En cuanto a GRADE, evalúa la certeza de una estimación agrupada, y esta revisión no presenta ninguna: la sección 3.5 muestra que solo 2 de los 110 brazos reúnen los requisitos mínimos para agregar. Calificar la certeza de un resultado que no existe sería un trámite, no una evaluación.</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 evaluados para elegibilidad</w:t>
      </w:r>
      <w:r>
        <w:t xml:space="preserve">. Al leer sus textos completos durante la extracción se comprobó que </w:t>
      </w:r>
      <w:r>
        <w:rPr>
          <w:b/>
        </w:rPr>
        <w:t>22 de ellos no cumplían los criterios de la sección 2.2</w:t>
      </w:r>
      <w:r>
        <w:t xml:space="preserve">, y se excluyeron; el apartado siguiente los detalla. El cuerpo de evidencia queda en </w:t>
      </w:r>
      <w:r>
        <w:rPr>
          <w:b/>
        </w:rPr>
        <w:t>162 estudios</w:t>
      </w:r>
      <w:r>
        <w:t>, que agrupan 201 informes: 138 con un solo informe y 24 con varios, hasta un máximo de once informes de un mismo ensayo.</w:t>
      </w:r>
    </w:p>
    <w:p>
      <w:pPr>
        <w:pStyle w:val="Heading2"/>
      </w:pPr>
      <w:r>
        <w:t>3.1.1 Veintidós estudios que el cribado admitió y el texto completo desmintió</w:t>
      </w:r>
    </w:p>
    <w:p>
      <w:r>
        <w:t xml:space="preserve">Los 22 se excluyeron por seis motivos, y ninguno es una discrepancia de criterio: son estudios que no cumplen lo que la sección 2.2 ya exigía. </w:t>
      </w:r>
      <w:r>
        <w:rPr>
          <w:b/>
        </w:rPr>
        <w:t>Diez</w:t>
      </w:r>
      <w:r>
        <w:t xml:space="preserve"> no tienen a </w:t>
      </w:r>
      <w:r>
        <w:rPr>
          <w:i/>
        </w:rPr>
        <w:t>P. aeruginosa</w:t>
      </w:r>
      <w:r>
        <w:t xml:space="preserve"> en ningún paciente —aparece en el espectro declarado del producto de fagos, en la introducción o en la lista de referencias—; uno de ellos no nombra microorganismo alguno. </w:t>
      </w:r>
      <w:r>
        <w:rPr>
          <w:b/>
        </w:rPr>
        <w:t>Cuatro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Uno</w:t>
      </w:r>
      <w:r>
        <w:t xml:space="preserve"> es una pieza de opinión con revisión narrativa.</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22 son la otra cara de esa limitación, y son el </w:t>
      </w:r>
      <w:r>
        <w:rPr>
          <w:b/>
        </w:rPr>
        <w:t>23,7 %</w:t>
      </w:r>
      <w:r>
        <w:t xml:space="preserve"> de los 93 estudios cuyo texto completo se pudo leer. Es un suelo, no un total: los 31 estudios sin texto completo no se han podido comprobar contra nada.</w:t>
      </w:r>
    </w:p>
    <w:p>
      <w:r>
        <w:t xml:space="preserve">De los 162 estudios, </w:t>
      </w:r>
      <w:r>
        <w:rPr>
          <w:b/>
        </w:rPr>
        <w:t>102 tienen publicación recuperable</w:t>
      </w:r>
      <w:r>
        <w:t xml:space="preserve">: 99 artículos y 3 que solo existen como resumen de congreso. Los </w:t>
      </w:r>
      <w:r>
        <w:rPr>
          <w:b/>
        </w:rPr>
        <w:t>60 restantes son únicamente fichas de registro de ensayo</w:t>
      </w:r>
      <w:r>
        <w:t>, sin publicación asociada localizable. Esa cifra basta por sí sola para describir un campo en el que más de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71 de los 102 estudios recuperables (69,6 %)</w:t>
      </w:r>
      <w:r>
        <w:t xml:space="preserve"> por vías de acceso abierto legítimas. Los 31 restantes requieren préstamo interbibliotecario, acceso institucional o solicitud a los autores.</w:t>
      </w:r>
    </w:p>
    <w:p>
      <w:r>
        <w:t xml:space="preserve">La fracción no obtenida </w:t>
      </w:r>
      <w:r>
        <w:rPr>
          <w:b/>
        </w:rPr>
        <w:t>no es una muestra aleatoria del conjunto</w:t>
      </w:r>
      <w:r>
        <w:t xml:space="preserve"> (Tabla 3). Contiene 11 de los 16 estudios comparativos, el </w:t>
      </w:r>
      <w:r>
        <w:rPr>
          <w:b/>
        </w:rPr>
        <w:t>68,8 %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102 estudios recuperables se publicaron entre </w:t>
      </w:r>
      <w:r>
        <w:rPr>
          <w:b/>
        </w:rPr>
        <w:t>2016 y 2026</w:t>
      </w:r>
      <w:r>
        <w:t xml:space="preserve">, y el </w:t>
      </w:r>
      <w:r>
        <w:rPr>
          <w:b/>
        </w:rPr>
        <w:t>80,4 %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43 reportes de caso único (42,2 %)</w:t>
      </w:r>
      <w:r>
        <w:t xml:space="preserve">, 18 series de casos, 13 cohortes prospectivas, 11 ensayos aleatorizados, 5 ensayos no aleatorizados y 3 cohortes retrospectivas. Otros 9 no declaran su diseño de forma reconocible en el resumen. Los comparativos suman </w:t>
      </w:r>
      <w:r>
        <w:rPr>
          <w:b/>
        </w:rPr>
        <w:t>16 estudios, el 15,7 %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77,5 %</w:t>
      </w:r>
      <w:r>
        <w:t xml:space="preserve"> de los estudios: el 64,7 % no la menciona en absoluto y un 12,7 %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52,9 %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43,1 %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98,0 %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110 brazos del corpus vigente.</w:t>
      </w:r>
    </w:p>
    <w:p>
      <w:r>
        <w:t>La completitud es desigual y, en el mejor de los casos, parcial. Los eventos adversos son lo que más se reporta con denominador (74,5 % de los brazos) y la emergencia de resistencia al fago lo que menos (25,5 %), pese a ser el desenlace que decide si la intervención conserva su utilidad. Esos porcentajes se calculan sobre los 110 brazos, e incluyen por tanto 31 de estudios cuyo texto completo no se ha recuperado: de un artículo que no se ha podido leer no cabe afirmar que calle. Sobre los 79 brazos legibles las cifras suben —del 74,5 % al 88,6 % en eventos adversos, del 25,5 % al 35,4 % en resistencia—, y la tabla 5 da las dos columnas para que el lector distinga el silencio de la literatura del hueco documental de esta revisión. El éxito clínico, que es el que las síntesis publicadas agregan, consta con numerador y denominador en el 63,6 % de los brazos. Dos brazos reportan un numerador mayor que su denominador —trece éxitos clínicos sobre un paciente, y cinco eventos adversos sobre cuatro—; se señalan como error de reporte y no se leen como proporciones.</w:t>
      </w:r>
    </w:p>
    <w:p>
      <w:r>
        <w:t xml:space="preserve">Ese 63,6 % es, sin embargo, engañoso si se lee como disponibilidad para agregar. </w:t>
      </w:r>
      <w:r>
        <w:rPr>
          <w:b/>
        </w:rPr>
        <w:t>En 75 de los 110 brazos (68,2 %) no consta una definición operativa de éxito clínico</w:t>
      </w:r>
      <w:r>
        <w:t>; sobre los 79 brazos legibles, en 45 (57,0 %). En 48 de ellos los revisores lo establecieron leyendo el artículo: 47 declaran un número de pacientes con «buen resultado» sin decir qué había que observar para contarlo, y 1 dejó el campo sin dato. En los 27 restantes la extracción quedó incompleta, de modo que no consta ni que el artículo la dé ni que no la dé; se cuentan entre los que no la aportan porque el dato no está disponible para quien lea la revisión, no porque se haya establecido su ausencia. Un numerador sin definición no nombra nada comparable con el numerador de otro estudio.</w:t>
      </w:r>
    </w:p>
    <w:p>
      <w:r>
        <w:t xml:space="preserve">El diseño tampoco consta siempre: en 27 de los 110 brazos no puede clasificarse —20 en que los dos revisores acordaron «NA» y 10 que siguen abiertos—, de modo que los recuentos por diseño son suelos sobre los 102 restantes. De esos 83, </w:t>
      </w:r>
      <w:r>
        <w:rPr>
          <w:b/>
        </w:rPr>
        <w:t>8 brazos son ensayos</w:t>
      </w:r>
      <w:r>
        <w:t xml:space="preserve"> (aleatorizados o no) y </w:t>
      </w:r>
      <w:r>
        <w:rPr>
          <w:b/>
        </w:rPr>
        <w:t>9 son cohortes</w:t>
      </w:r>
      <w:r>
        <w:t>. La sección 3.3 y la tabla 1 llaman «comparativos» solo a los ensayos, y por eso allí la cifra es 23 estudios: cuando en esta sección se dice «comparativo» se incluyen también las cohortes, y son 17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110</w:t>
      </w:r>
      <w:r>
        <w:t>. Los dos siguientes son los criterios de elegibilidad que esta misma revisión declara en la sección 2.2, y ninguno de esos 3 los sobrevive.</w:t>
      </w:r>
    </w:p>
    <w:p>
      <w:r>
        <w:t xml:space="preserve">El primero es que el desenlace pueda atribuirse a </w:t>
      </w:r>
      <w:r>
        <w:rPr>
          <w:i/>
        </w:rPr>
        <w:t>P. aeruginosa</w:t>
      </w:r>
      <w:r>
        <w:t xml:space="preserve">. La sección 2.2 admite estudios con varios patógenos solo cuando el subgrupo es separable, y en uno de los tres la extracción anota que el artículo no separa los datos: su numerador cuenta pacientes de varias especies. Quedan 2. El segundo es que la administración sea terapéutica. El siguiente de los tres es un ensayo de </w:t>
      </w:r>
      <w:r>
        <w:rPr>
          <w:i/>
        </w:rPr>
        <w:t>prevención</w:t>
      </w:r>
      <w:r>
        <w:t xml:space="preserve"> de neumonía asociada a ventilación, y su desenlace —ausencia de neumonía incidente— no mide lo mismo que la curación de una infección establecida. Queda 1.</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110 brazos de esta literatura, </w:t>
      </w:r>
      <w:r>
        <w:rPr>
          <w:b/>
        </w:rPr>
        <w:t>ninguno reúne a la vez las condiciones aritméticas y los criterios de elegibilidad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162 estudios frente a las decenas que manejan las revisiones publicadas, y habrían sido 219 sin la restricción de idioma que se adoptó al final y sin los 22 que la relectura de los textos completos desmintió.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162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búsqueda no interrogó Embase ni el ICTRP de la OMS, lo que reduce la cobertura de series de casos y resúmenes de congreso y deja la corriente de registros limitada a Estados Unidos y la Unión Europea. </w:t>
      </w:r>
      <w:r>
        <w:rPr>
          <w:b/>
        </w:rPr>
        <w:t>Segunda:</w:t>
      </w:r>
      <w:r>
        <w:t xml:space="preserve"> se limitó a publicaciones de 2016 a 2026, de modo que describe la producción reciente y no el campo entero. </w:t>
      </w:r>
      <w:r>
        <w:rPr>
          <w:b/>
        </w:rPr>
        <w:t>Tercera:</w:t>
      </w:r>
      <w:r>
        <w:t xml:space="preserve"> este informe describe la completitud con que se reportan los desenlaces (sección 3.5), pero no presenta estimaciones de eficacia, ni evaluación del riesgo de sesgo, ni certeza GRADE (sección 2.7): es una caracterización del cuerpo de evidencia, no una síntesis de sus resultados. </w:t>
      </w:r>
      <w:r>
        <w:rPr>
          <w:b/>
        </w:rPr>
        <w:t>Cuarta:</w:t>
      </w:r>
      <w:r>
        <w:t xml:space="preserve"> el texto completo se obtuvo para el 69,6 % de los estudios recuperables, y la fracción faltante está enriquecida en diseños comparativos, de manera que lo descrito subrepresenta la parte comparativa del campo. </w:t>
      </w:r>
      <w:r>
        <w:rPr>
          <w:b/>
        </w:rPr>
        <w:t>Quinta: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r>
        <w:rPr>
          <w:b/>
        </w:rPr>
        <w:t>Agradecimientos.</w:t>
      </w:r>
      <w:r>
        <w:t xml:space="preserve"> Los autores agradecen al personal de la biblioteca de la Universidad Católica de Cuenca la gestión de las solicitudes de préstamo interbibliotecario, y a los autores de los estudios que respondieron a las peticiones de texto completo.</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102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110 brazos).</w:t>
      </w:r>
    </w:p>
    <w:p>
      <w:r>
        <w:rPr>
          <w:b/>
        </w:rPr>
        <w:t>Tabla 6.</w:t>
      </w:r>
      <w:r>
        <w:t xml:space="preserve"> Brazos que sobreviven a cada requisito de una proporción agrupada de éxito clínico (n = 110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102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102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162 estudios con su situación y sus informes agrupados, y de los 22 excluidos al releer el texto completo, con su motivo y su cita.</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S14.</w:t>
      </w:r>
      <w:r>
        <w:t xml:space="preserve"> Extracción adjudicada: un valor por casilla, brazo a brazo, tras el consenso. Sostiene la sección 3.5 y las tablas 5 y 6.</w:t>
      </w:r>
    </w:p>
    <w:p>
      <w:pPr>
        <w:pStyle w:val="ListBullet"/>
      </w:pPr>
      <w:r>
        <w:rPr>
          <w:b/>
        </w:rPr>
        <w:t>S15.</w:t>
      </w:r>
      <w:r>
        <w:t xml:space="preserve"> Procedencia de cada casilla de S14: acuerdo, consenso, una sola lectura o abierta.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