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251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val="0"/>
          <w:i/>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val="0"/>
          <w:i/>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no el informe. Extracción por duplicado e independiente, con 539 de 541 desacuerdos adjudicados por consenso. El riesgo de sesgo se evaluó por consenso, por dominios, en los 11 comparativos con texto completo (RoB 2, ROBINS-I); no se aplicó GRADE.</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184 estudios evaluados para elegibilidad, de los que 29 se excluyeron: 22 al leer el artículo y 7 sin poder leerlo. Quedan 155 estudios, 95 con publicación recuperable y 71 con texto obtenido (74,7 %). De esos 95, el 44,2 % son reportes de caso único y el 11,6 % tiene diseño comparativo; la categoría de resistencia no puede asignarse desde el resumen en el 75,8 %. En 69 de 103 brazos extraídos (67,0 %) no consta una definición operativa de éxito clínico. Ningún brazo reúne los requisitos aritméticos de una proporción agrupada y los de elegibilidad.</w:t>
      </w:r>
    </w:p>
    <w:p>
      <w:pPr>
        <w:jc w:val="both"/>
      </w:pPr>
      <w:r>
        <w:rPr>
          <w:rFonts w:ascii="Times New Roman" w:hAnsi="Times New Roman"/>
          <w:b w:val="0"/>
          <w:i/>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Structured abstract (English) — 253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val="0"/>
          <w:i/>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val="0"/>
          <w:i/>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not the report. Extraction was in duplicate and independent, with 539 of 541 disagreements adjudicated by consensus. Risk of bias was assessed by consensus, by domain, in the 11 comparative studies with full text (RoB 2, ROBINS-I); GRADE was not applied.</w:t>
      </w:r>
    </w:p>
    <w:p>
      <w:pPr>
        <w:jc w:val="both"/>
      </w:pPr>
      <w:r>
        <w:rPr>
          <w:rFonts w:ascii="Times New Roman" w:hAnsi="Times New Roman"/>
          <w:b w:val="0"/>
          <w:i/>
          <w:sz w:val="22"/>
        </w:rPr>
        <w:t>Results.</w:t>
      </w:r>
      <w:r>
        <w:rPr>
          <w:rFonts w:ascii="Times New Roman" w:hAnsi="Times New Roman"/>
          <w:b w:val="0"/>
          <w:i w:val="0"/>
          <w:sz w:val="22"/>
        </w:rPr>
        <w:t xml:space="preserve"> From 23 057 records, 17 129 unique reports remained; 233 reports formed 184 studies assessed for eligibility, of which 29 were excluded: 22 on reading the article and 7 without being able to read it. 155 studies remain, 95 with a retrievable publication and 71 with the text obtained (74.7 %). Of those 95, 44.2 % are single case reports and 11.6 % have a comparative design; resistance category cannot be assigned from the abstract in 75.8 %. In 69 of the 103 extracted arms (67.0 %) no operational definition of clinical success is on record. No arm meets the arithmetic requirements of a pooled proportion together with those of eligibility.</w:t>
      </w:r>
    </w:p>
    <w:p>
      <w:pPr>
        <w:jc w:val="both"/>
      </w:pPr>
      <w:r>
        <w:rPr>
          <w:rFonts w:ascii="Times New Roman" w:hAnsi="Times New Roman"/>
          <w:b w:val="0"/>
          <w:i/>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p>
      <w:pPr>
        <w:spacing w:before="360" w:after="40"/>
      </w:pPr>
      <w:r>
        <w:rPr>
          <w:rFonts w:ascii="Times New Roman" w:hAnsi="Times New Roman"/>
          <w:b/>
          <w:i w:val="0"/>
          <w:sz w:val="24"/>
        </w:rPr>
        <w:t>Resumen en párrafo corrido (español)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Se realizó una revisión sistemática conforme a PRISMA 2020 sobre ocho fuentes, en dos corrientes —bases bibliográficas y registros de ensayos—, con ventana 2016-2026 donde la interfaz la admite. La unidad de inclusión fue el estudio, no el informe. Extracción por duplicado e independiente, con 539 de 541 desacuerdos adjudicados por consenso. El riesgo de sesgo se evaluó por consenso, por dominios, en los 11 comparativos con texto completo (RoB 2, ROBINS-I); no se aplicó GRADE. De 23 057 registros quedaron 17 129 informes únicos; 233 informes formaron 184 estudios evaluados para elegibilidad, de los que 29 se excluyeron: 22 al leer el artículo y 7 sin poder leerlo. Quedan 155 estudios, 95 con publicación recuperable y 71 con texto obtenido (74,7 %). De esos 95, el 44,2 % son reportes de caso único y el 11,6 % tiene diseño comparativo; la categoría de resistencia no puede asignarse desde el resumen en el 75,8 %. En 69 de 103 brazos extraídos (67,0 %) no consta una definición operativa de éxito clínico. Ningún brazo reúne los requisitos aritméticos de una proporción agrupada y los de elegibilidad.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Abstract as a single paragraph (English)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systematic review was conducted following PRISMA 2020 across eight sources, in two streams —bibliographic databases and trial registries—, with a 2016-2026 window where the interface allows it. The unit of inclusion was the study, not the report. Data were extracted in duplicate and independently, with 539 of 541 disagreements adjudicated by consensus. Risk of bias was assessed by consensus, by domain, in the 11 comparative studies with full text (RoB 2, ROBINS-I); GRADE was not applied. From 23 057 records, 17 129 unique reports remained; 233 reports formed 184 studies assessed for eligibility, of which 29 were excluded: 22 on reading the article and 7 without being able to read it. 155 studies remain, 95 with a retrievable publication and 71 with the text obtained (74.7 %). Of those 95, 44.2 % are single case reports and 11.6 % have a comparative design; resistance category cannot be assigned from the abstract in 75.8 %. In 69 of the 103 extracted arms (67.0 %) no operational definition of clinical success is on record. No arm meets the arithmetic requirements of a pooled proportion together with those of eligibility.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