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359; main text 5 182.</w:t>
      </w:r>
    </w:p>
    <w:p>
      <w:r>
        <w:rPr>
          <w:b/>
        </w:rPr>
        <w:t>Tables:</w:t>
      </w:r>
      <w:r>
        <w:t xml:space="preserve"> 5. </w:t>
      </w:r>
      <w:r>
        <w:rPr>
          <w:b/>
        </w:rPr>
        <w:t>Figures:</w:t>
      </w:r>
      <w:r>
        <w:t xml:space="preserve"> 2. </w:t>
      </w:r>
      <w:r>
        <w:rPr>
          <w:b/>
        </w:rPr>
        <w:t>Supplementary files:</w:t>
      </w:r>
      <w:r>
        <w:t xml:space="preserve"> 14 (S0–S13) plus a guide.</w:t>
      </w:r>
    </w:p>
    <w:p>
      <w:pPr>
        <w:pStyle w:val="Heading1"/>
      </w:pPr>
      <w:r>
        <w:t>Abstract</w:t>
      </w:r>
    </w:p>
    <w:p>
      <w:r>
        <w:rPr>
          <w:b/>
        </w:rPr>
        <w:t>Background.</w:t>
      </w:r>
      <w:r>
        <w:t xml:space="preserve"> Carbapenem-resistant </w:t>
      </w:r>
      <w:r>
        <w:rPr>
          <w:i/>
        </w:rPr>
        <w:t>Pseudomonas aeruginosa</w:t>
      </w:r>
      <w:r>
        <w:t xml:space="preserve"> is listed as a </w:t>
      </w:r>
      <w:r>
        <w:rPr>
          <w:b/>
        </w:rPr>
        <w:t>high</w:t>
      </w:r>
      <w:r>
        <w:t>-priority pathogen in the WHO 2024 list, having been critical priority in the 2017 list.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Eight databases and registers were searched, including the regional databases BVS and SciELO, over a publication window of 2016 to 2026 applied in the sources that admit it. Only reports in English or Spanish were eligible, a criterion adopted after screening closed and verified report by report, including against the full text of every retrieved PDF. The unit of inclusion was the study, not the report. Data extraction was performed by hand, in duplicate and independently, with disagreements resolved by consensus. The structural characterisation derives from a systematic pre-extraction from the abstracts; the reporting completeness per outcome, from the adjudicated extraction.</w:t>
      </w:r>
    </w:p>
    <w:p>
      <w:r>
        <w:rPr>
          <w:b/>
        </w:rPr>
        <w:t>Results.</w:t>
      </w:r>
      <w:r>
        <w:t xml:space="preserve"> From 23 057 records, 17 129 unique reports remained. Full-text assessment covered 233 reports, which grouped into 184 studies; 124 of these have a retrievable publication. Single case reports account for 39.5 % and only 18.5 % are comparative designs. Geographic origin is not stated in 61.3 % and resistance class cannot be assigned in 80.6 %. Full text was obtained for 93 studies (75.0 %); the remaining fraction concentrates 47.8 % of the comparative designs. The language criterion removed 35 studies, 18 of them comparative. In 89 of the 132 extracted arms (67.4 %) no operational definition of clinical success is on record, and only 3 combine comparative design, numerator, denominator and a definition; one of those 3 measures time, not a proportion.</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t xml:space="preserve">The extraction form, with 31 variables and controlled vocabularies, was piloted on five studies before use. Extraction was carried out </w:t>
      </w:r>
      <w:r>
        <w:rPr>
          <w:b/>
        </w:rPr>
        <w:t>in duplicate and independently</w:t>
      </w:r>
      <w:r>
        <w:t xml:space="preserve"> between the two reviewers. One reviewer extracted all 124 studies with a retrievable publication and the second extracted 122 of them, so 98 % of the corpus is double-extracted. Over the 130 comparable arm rows, 547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when:531 of 547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structural characterisation of the corpus (sections 3.1 to 3.4, Tables 1 to 4) derives from a systematic pre-extraction from the abstracts of the 124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and its </w:t>
      </w:r>
      <w:r>
        <w:rPr>
          <w:b/>
        </w:rPr>
        <w:t>verifiability</w:t>
      </w:r>
      <w:r>
        <w:t>, with three components measured — retrievability of the report (sections 3.1 and 3.2), structural reporting completeness (section 3.4) and outcome reporting completeness (section 3.5).</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w:t>
      </w:r>
    </w:p>
    <w:p>
      <w:r>
        <w:rPr>
          <w:b/>
        </w:rPr>
        <w:t>Neither assessment was carried out, and this review does not report them.</w:t>
      </w:r>
      <w:r>
        <w:t xml:space="preserve"> The reasons are specific and worth stating separately. Risk of bias requires both reviewers to read each article and issue a domain-by-domain judgement; it remains outstanding and is not substituted by any design-derived indicator, which is not the same thing. In addition, 31 of the 124 studies with a retrievable publication still lack full text (section 3.2), so an assessment made today would omit a non-random fraction of the corpus. As for GRADE, it rates the certainty of a pooled estimate, and this review presents none: section 3.5 shows that only 3 of the 132 arms meet the minimum requirements for pooling. Rating the certainty of a result that does not exist would be a formality, not an assessment.</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93 of the 124 retrievable studies (75.0 %)</w:t>
      </w:r>
      <w:r>
        <w:t xml:space="preserve"> through legitimate open-access routes. The remaining 31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80.6 %</w:t>
      </w:r>
      <w:r>
        <w:t xml:space="preserve"> of studies: 70.2 % do not mention it at all and a further 10.5 %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(73.5 % of arms) and emergence of phage resistance the least (24.2 %), despite being the outcome that determines whether the intervention retains its usefulness. Clinical success, the outcome that published syntheses pool, is reported with numerator and denominator in 62.9 % of arms. Two arms report a numerator larger than their denominator — thirteen clinical successes in one patient, and five adverse events in four — and are flagged as reporting errors, not read as proportions.</w:t>
      </w:r>
    </w:p>
    <w:p>
      <w:r>
        <w:t xml:space="preserve">That 62.9 % is misleading, however, if read as availability for pooling. </w:t>
      </w:r>
      <w:r>
        <w:rPr>
          <w:b/>
        </w:rPr>
        <w:t>In 89 of the 132 arms (67.4 %) no operational definition of clinical success is on record.</w:t>
      </w:r>
      <w:r>
        <w:t xml:space="preserve"> In 60 of them the reviewers established this by reading the article: 58 state a number of patients with a "good outcome" without saying what had to be observed to count one, and 2 left the field empty. In the remaining 29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Study design is not always on record either: in 30 of the 132 arms it cannot be classified — 20 where both reviewers agreed on "NA" and 10 still open — so the design counts are floors over the remaining 102. Of those 102, 24 arms are comparative.</w:t>
      </w:r>
    </w:p>
    <w:p>
      <w:r>
        <w:t xml:space="preserve">Crossing the four requirements a pooled proportion would demand — comparative design, numerator, denominator and an operational definition of the outcome — leaves </w:t>
      </w:r>
      <w:r>
        <w:rPr>
          <w:b/>
        </w:rPr>
        <w:t>3 of the 132 arms</w:t>
      </w:r>
      <w:r>
        <w:t xml:space="preserve">. And one of the three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Two remain.</w:t>
      </w:r>
      <w:r>
        <w:t xml:space="preserve"> And the two define success differently: one as the absence or resolution of a six-sign clinical syndrome without ventilator-associated pneumonia; the other as relief of symptoms "regardless of whether the bacteria was detected". No two define the same thing because there are no two.</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search did not query Embase or the WHO ICTRP, which reduces coverage of case series and conference abstracts and leaves the register stream limited to the United States and the European Union. </w:t>
      </w:r>
      <w:r>
        <w:rPr>
          <w:b/>
        </w:rPr>
        <w:t>Second</w:t>
      </w:r>
      <w:r>
        <w:t xml:space="preserve">, it was limited to publications from 2016 to 2026, so it describes recent output rather than the whole field. </w:t>
      </w:r>
      <w:r>
        <w:rPr>
          <w:b/>
        </w:rPr>
        <w:t>Third</w:t>
      </w:r>
      <w:r>
        <w:t xml:space="preserve">, this report describes how completely outcomes are reported (section 3.5) but presents no efficacy estimates, no risk-of-bias assessment and no GRADE certainty (section 2.7): it is a characterisation of the evidence base, not a synthesis of its results. </w:t>
      </w:r>
      <w:r>
        <w:rPr>
          <w:b/>
        </w:rPr>
        <w:t>Fourth</w:t>
      </w:r>
      <w:r>
        <w:t xml:space="preserve">, full text was obtained for 75.0 % of the retrievable studies, and the missing fraction is enriched in comparative designs, so what is described under-represents the comparative part of the field. </w:t>
      </w:r>
      <w:r>
        <w:rPr>
          <w:b/>
        </w:rPr>
        <w:t>Fifth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r>
        <w:rPr>
          <w:b/>
        </w:rPr>
        <w:t>Acknowledgements.</w:t>
      </w:r>
      <w:r>
        <w:t xml:space="preserve"> The authors thank the library staff of Universidad Católica de Cuenca for handling the interlibrary loan requests, and the authors of the studies who responded to full-text requests.</w:t>
      </w:r>
    </w:p>
    <w:p>
      <w:pPr>
        <w:pStyle w:val="Heading1"/>
      </w:pPr>
      <w:r>
        <w:t>Tables and figures</w:t>
      </w:r>
    </w:p>
    <w:p>
      <w:r>
        <w:t>The five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132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