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Uso interno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124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184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184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233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124 de 124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91 de 124 (73.4 %)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573 de 575 sin firmar; bloquea reportar desenlaces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