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estructura y la verificabilidad del cuerpo de evidencia clínica</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323; texto principal 4 811.</w:t>
      </w:r>
    </w:p>
    <w:p>
      <w:r>
        <w:rPr>
          <w:b/>
        </w:rPr>
        <w:t>Tablas:</w:t>
      </w:r>
      <w:r>
        <w:t xml:space="preserve"> 4. </w:t>
      </w:r>
      <w:r>
        <w:rPr>
          <w:b/>
        </w:rPr>
        <w:t>Figuras:</w:t>
      </w:r>
      <w:r>
        <w:t xml:space="preserve"> 2. </w:t>
      </w:r>
      <w:r>
        <w:rPr>
          <w:b/>
        </w:rPr>
        <w:t>Material suplementario:</w:t>
      </w:r>
      <w:r>
        <w:t xml:space="preserve"> 14 anexos (S0–S13) y su guía.</w:t>
      </w:r>
    </w:p>
    <w:p>
      <w:pPr>
        <w:pStyle w:val="Heading1"/>
      </w:pPr>
      <w:r>
        <w:t>Resumen</w:t>
      </w:r>
    </w:p>
    <w:p>
      <w:r>
        <w:rPr>
          <w:b/>
        </w:rPr>
        <w:t>Antecedentes.</w:t>
      </w:r>
      <w:r>
        <w:t xml:space="preserve"> </w:t>
      </w:r>
      <w:r>
        <w:rPr>
          <w:i/>
        </w:rPr>
        <w:t>Pseudomonas aeruginosa</w:t>
      </w:r>
      <w:r>
        <w:t xml:space="preserve"> resistente a carbapenémicos figura como patógeno de prioridad </w:t>
      </w:r>
      <w:r>
        <w:rPr>
          <w:b/>
        </w:rPr>
        <w:t>alta</w:t>
      </w:r>
      <w:r>
        <w:t xml:space="preserve"> en la lista de la OMS de 2024, tras haber sido de prioridad crítica en la de 2017. Varias síntesis recientes han agregado los desenlaces de la fagoterapia en proporciones globales de éxito. Hacerlo da por supuesto que este cuerpo de evidencia admite agregación, y nadie ha examinado ese supuesto.</w:t>
      </w:r>
    </w:p>
    <w:p>
      <w:r>
        <w:rPr>
          <w:b/>
        </w:rPr>
        <w:t>Objetivos.</w:t>
      </w:r>
      <w:r>
        <w:t xml:space="preserve"> Delimitar de forma reproducible la literatura clínica sobre fagoterapia en </w:t>
      </w:r>
      <w:r>
        <w:rPr>
          <w:i/>
        </w:rPr>
        <w:t>P. aeruginosa</w:t>
      </w:r>
      <w:r>
        <w:t xml:space="preserve"> resistente y determinar si su estructura y su reporte permiten una síntesis cuantitativa de eficacia.</w:t>
      </w:r>
    </w:p>
    <w:p>
      <w:r>
        <w:rPr>
          <w:b/>
        </w:rPr>
        <w:t>Métodos.</w:t>
      </w:r>
      <w:r>
        <w:t xml:space="preserve"> Revisión sistemática conforme a PRISMA 2020, con corrientes separadas para bases y registros de ensayos. Se interrogaron ocho bases y registros, incluidos BVS y SciELO, con una ventana de publicación de 2016 a 2026 aplicada en las fuentes que la admiten. Solo se admitieron informes en inglés o español, criterio incorporado como enmienda posterior al cribado y verificado informe a informe, también sobre el texto completo de cada PDF. La unidad de inclusión fue el estudio, no el informe. La extracción se realizó a mano, y la caracterización que aquí se reporta procede de una pre-extracción sistemática desde el resumen.</w:t>
      </w:r>
    </w:p>
    <w:p>
      <w:r>
        <w:rPr>
          <w:b/>
        </w:rPr>
        <w:t>Resultados.</w:t>
      </w:r>
      <w:r>
        <w:t xml:space="preserve"> De 23 057 registros quedaron 17 129 informes únicos. Pasaron a texto completo 233, agrupados en 184 estudios; 124 de ellos tienen publicación recuperable. El 39,5 % son casos únicos y solo el 18,5 % son comparativos. No consta la procedencia geográfica en el 61,3 % ni puede asignarse la clase de resistencia en el 80,6 %. Se obtuvo el texto completo de 91 estudios (73,4 %); la fracción restante concentra el 47,8 % de los diseños comparativos. El criterio de idioma eliminó 35 estudios, 18 de ellos comparativos.</w:t>
      </w:r>
    </w:p>
    <w:p>
      <w:r>
        <w:rPr>
          <w:b/>
        </w:rPr>
        <w:t>Conclusiones.</w:t>
      </w:r>
      <w:r>
        <w:t xml:space="preserve"> El cuerpo de evidencia es amplio y, a la vez, estructuralmente inadecuado para una síntesis cuantitativa de eficacia. Las proporciones de éxito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y la verificabilidad —entendida como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 última ejecución fue el 10 de agosto de 2026.</w:t>
      </w:r>
    </w:p>
    <w:p>
      <w:r>
        <w:t>Las ecuaciones las diseñó y ejecutó D.V., interrogando cada interfaz directamente; no las generó ni las ejecutó el modelo de lenguaje cuya intervención se declara en la sección 2.4. Se aportan íntegras como suplemento, con la sintaxis literal de cada interfaz, el número de resultados y la fecha, de modo que cualquiera puede repetirlas. BVS y SciELO se incluyeron para no inclinar la revisión hacia la literatura anglosajona, y aportaron 2 de los 233 informes que llegaron a texto completo: cubren Iberoamérica, y de los 48 estudios que declaran procedencia, 21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usaron un </w:t>
      </w:r>
      <w:r>
        <w:rPr>
          <w:b/>
        </w:rPr>
        <w:t>vocabulario cerrado de seis códigos</w:t>
      </w:r>
      <w:r>
        <w:t xml:space="preserve"> (ORG, REV, SEC, LAB, VET, OFF) fijado antes de empezar. Un motivo que no encaje en uno de los seis no recibe un séptimo código improvisado sobre la marcha: el registro avanza a la etapa siguiente en lugar de excluirse.</w:t>
      </w:r>
    </w:p>
    <w:p>
      <w:r>
        <w:t xml:space="preserve">La etapa 1 es determinista: la ejecuta un script y cada exclusión nombra la regla que disparó. Las etapas 2 y 3 las condujo </w:t>
      </w:r>
      <w:r>
        <w:rPr>
          <w:b/>
        </w:rPr>
        <w:t>un solo revisor humano (D.V.), sin duplicación por un segundo revisor</w:t>
      </w:r>
      <w:r>
        <w:t>. Los criterios y el vocabulario cerrado se fijaron antes de empezar; las decisiones registro a registro las emitió un modelo de lenguaje (Claude Opus 5, Anthropic) que solo podía elegir entre los seis códigos y no podía proponer ninguno nuevo:13 917 decisiones de título y 460 de resumen. El revisor examinó uno a uno los informes que superaron el cribado antes de agruparlos en estudios, y esas asignaciones se aportan íntegras (S5); los registros que el modelo excluyó no volvieron a leerse. Cada decisión quedó registrada con su motivo y su marca de tiempo en un registro solo-anexar que se aporta íntegro (S3).</w:t>
      </w:r>
    </w:p>
    <w:p>
      <w:r>
        <w:t>La concordancia entre el modelo y un lector humano no se midió. Contra el riesgo de falso negativo la revisión opone la auditoría de control positivo de la sección 2.5: se comprobó tras cada etapa que ninguno de los 40 estudios conocidos de antemano perdiera todos sus informes.</w:t>
      </w:r>
    </w:p>
    <w:p>
      <w:r>
        <w:t xml:space="preserve">Conviene distinguir dos cosas que el término «extracción» confunde. La </w:t>
      </w:r>
      <w:r>
        <w:rPr>
          <w:b/>
        </w:rPr>
        <w:t>pre-extracción desde el resumen</w:t>
      </w:r>
      <w:r>
        <w:t xml:space="preserve">, que es la fuente de toda cifra que este artículo publica, la emitió el mismo modelo bajo el esquema de variables fijado de antemano, y cada registro quedó marcado como parcial. La </w:t>
      </w:r>
      <w:r>
        <w:rPr>
          <w:b/>
        </w:rPr>
        <w:t>extracción desde el texto completo</w:t>
      </w:r>
      <w:r>
        <w:t>, que alimentaría los desenlaces, la realizaron los revisores a mano y sin modelo; sus resultados no se reportan aquí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w:t>
      </w:r>
    </w:p>
    <w:p>
      <w:pPr>
        <w:pStyle w:val="Heading2"/>
      </w:pPr>
      <w:r>
        <w:t>2.5 Auditoría de control positivo y validación del cribado</w:t>
      </w:r>
    </w:p>
    <w:p>
      <w:r>
        <w:t xml:space="preserve">Antes de iniciar el cribado se fijó un conjunto de 40 estudios conocidos a priori como elegibles, identificados en una revisión exploratoria previa.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(40 de 40).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se recribó en Rayyan, en modo ciego respecto del veredicto original. Los 6 registros marcados como incluibles en la primera pasada resultaron, contrastados con los criterios de la sección 2.2, trabajo de laboratorio, de modelización o revisión sin datos primarios, y se reclasificaron.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con 31 variables y vocabularios controlados, se piloteó sobre cinco estudios antes de su uso. La extracción se hizo </w:t>
      </w:r>
      <w:r>
        <w:rPr>
          <w:b/>
        </w:rPr>
        <w:t>por duplicado e independiente</w:t>
      </w:r>
      <w:r>
        <w:t xml:space="preserve"> entre los dos revisores. Un revisor extrajo los 124 estudios con publicación recuperable y el segundo extrajo 122 de ellos, de modo que el 98 % del corpus tiene doble extracción. Sobre las 130 filas de brazo comparables se registraron 575 desacuerdos de valor; la concordancia, medida antes de resolverlos, fue del 78 % de acuerdo mediano y una kappa de Cohen mediana de 0,57 sobre los 8 de 9 campos categóricos en que resulta informativa, con un recorrido del 55 % al 100 % según la variable. Las discrepancias se resuelven por consenso entre los dos revisores, con registro de quién resolvió y cuándo; en el momento de este informe hay 2 de 575 adjudicadas y el registro completo se aporta como suplemento.</w:t>
      </w:r>
    </w:p>
    <w:p>
      <w:r>
        <w:t xml:space="preserve">Los datos que se reportan proceden de una pre-extracción sistemática desde el resumen de los 124 estudios, realizada con el mismo esquema de variables y marcada como parcial en cada registro. Este informe no presenta estimaciones de eficacia: caracteriza la estructura del cuerpo de evidencia y su </w:t>
      </w:r>
      <w:r>
        <w:rPr>
          <w:b/>
        </w:rPr>
        <w:t>verificabilidad</w:t>
      </w:r>
      <w:r>
        <w:t>, con dos componentes medidos —la recuperabilidad del informe (secciones 3.1 y 3.2) y la completitud de reporte (sección 3.4)—.</w:t>
      </w:r>
    </w:p>
    <w:p>
      <w:pPr>
        <w:pStyle w:val="Heading2"/>
      </w:pPr>
      <w:r>
        <w:t>2.7 Riesgo de sesgo y certeza</w:t>
      </w:r>
    </w:p>
    <w:p>
      <w:r>
        <w:t>Se preveía evaluar el riesgo de sesgo con RoB 2 para ensayos aleatorizados [@Sterne2019_rob2], ROBINS-I para estudios no aleatorizados [@Sterne2016_robinsi] y los dominios de Murad para reportes y series de casos [@Murad2018_casereports; @Munn2020_jbicaseseries], y la certeza con GRADE [@Guyatt2011_grade]. Estas evaluaciones dependen del texto completo y se reportarán con la extracción definitiva.</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3.5.</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 al protocolo: criterio de idioma</w:t>
      </w:r>
    </w:p>
    <w:p>
      <w:r>
        <w:t>El 11 de agosto de 2026, con el cribado concluido y los 219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219 a 184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40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pPr>
        <w:pStyle w:val="Heading1"/>
      </w:pPr>
      <w:r>
        <w:t>3. Resultados</w:t>
      </w:r>
    </w:p>
    <w:p>
      <w:pPr>
        <w:pStyle w:val="Heading2"/>
      </w:pPr>
      <w:r>
        <w:t>3.1 Selección de los estudios</w:t>
      </w:r>
    </w:p>
    <w:p>
      <w:r>
        <w:t xml:space="preserve">Las nueve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184 estudios</w:t>
      </w:r>
      <w:r>
        <w:t>: 154 con un solo informe y 30 con varios, hasta un máximo de once informes de un mismo ensayo.</w:t>
      </w:r>
    </w:p>
    <w:p>
      <w:r>
        <w:t xml:space="preserve">De los 184 estudios, </w:t>
      </w:r>
      <w:r>
        <w:rPr>
          <w:b/>
        </w:rPr>
        <w:t>124 tienen publicación recuperable</w:t>
      </w:r>
      <w:r>
        <w:t xml:space="preserve">: 121 artículos y 3 que solo existen como resumen de congreso. Los </w:t>
      </w:r>
      <w:r>
        <w:rPr>
          <w:b/>
        </w:rPr>
        <w:t>60 restantes son únicamente fichas de registro de ensayo</w:t>
      </w:r>
      <w:r>
        <w:t>, sin publicación asociada localizable. Esa cifra basta por sí sola para describir un campo en el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Se obtuvo el texto completo de </w:t>
      </w:r>
      <w:r>
        <w:rPr>
          <w:b/>
        </w:rPr>
        <w:t>91 de los 124 estudios recuperables (73,4 %)</w:t>
      </w:r>
      <w:r>
        <w:t xml:space="preserve"> por vías de acceso abierto legítimas. Los 33 restantes requieren préstamo interbibliotecario, acceso institucional o solicitud a los autores.</w:t>
      </w:r>
    </w:p>
    <w:p>
      <w:r>
        <w:t xml:space="preserve">La fracción no obtenida </w:t>
      </w:r>
      <w:r>
        <w:rPr>
          <w:b/>
        </w:rPr>
        <w:t>no es una muestra aleatoria del conjunto</w:t>
      </w:r>
      <w:r>
        <w:t xml:space="preserve"> (Tabla 3). Contiene 11 de los 23 estudios comparativos, el </w:t>
      </w:r>
      <w:r>
        <w:rPr>
          <w:b/>
        </w:rPr>
        <w:t>47,8 %</w:t>
      </w:r>
      <w:r>
        <w:t>, y, aunque declara menos pacientes en total, concentra los diseños que sostienen una comparación. De los cuatro ensayos aleatorizados de referencia del campo [@Jault2019_phagoburn; @Leitner2021_lancetid_pyophage; @NirPaz2025_med_tp102; @Chan2023_jcf_cyphy], dos siguen sin leerse: el de fagos intravesicales y el de TP-102. De PhagoBurn se obtuvo el artículo. Del ensayo de Yale no existe artículo completo publicado, sino un resumen de congreso y los resultados depositados en el registro; lo que se obtuvo es el protocolo del ensayo, que documenta el diseño pero no los desenlaces.</w:t>
      </w:r>
    </w:p>
    <w:p>
      <w:r>
        <w:t>La asimetría es en sí misma un resultado. La accesibilidad del texto completo covaría con la región de publicación y con el diseño del estudio, y se suma a la restricción de idioma en la misma dirección: ambas empujan el corpus hacia la literatura anglosajona de acceso abierto. Una revisión que no declare ninguna de las dos transforma la pregunta sin decirlo.</w:t>
      </w:r>
    </w:p>
    <w:p>
      <w:pPr>
        <w:pStyle w:val="Heading2"/>
      </w:pPr>
      <w:r>
        <w:t>3.3 Características del cuerpo de evidencia</w:t>
      </w:r>
    </w:p>
    <w:p>
      <w:r>
        <w:t xml:space="preserve">Los 124 estudios recuperables se publicaron entre </w:t>
      </w:r>
      <w:r>
        <w:rPr>
          <w:b/>
        </w:rPr>
        <w:t>2016 y 2026</w:t>
      </w:r>
      <w:r>
        <w:t xml:space="preserve">, y el </w:t>
      </w:r>
      <w:r>
        <w:rPr>
          <w:b/>
        </w:rPr>
        <w:t>83,1 %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49 reportes de caso único (39,5 %)</w:t>
      </w:r>
      <w:r>
        <w:t xml:space="preserve">, 19 series de casos, 16 ensayos aleatorizados, 13 cohortes prospectivas, 7 ensayos no aleatorizados y 4 cohortes retrospectivas. Otros 16 no declaran su diseño de forma reconocible en el resumen. Los comparativos suman </w:t>
      </w:r>
      <w:r>
        <w:rPr>
          <w:b/>
        </w:rPr>
        <w:t>23 estudios, el 18,5 %</w:t>
      </w:r>
      <w:r>
        <w:t xml:space="preserve"> del total, y son los únicos capaces de sostener una afirmación de eficacia relativa.</w:t>
      </w:r>
    </w:p>
    <w:p>
      <w:r>
        <w:t>La procedencia geográfica, cuando consta, se reparte entre Rusia (7 estudios), Polonia y Georgia (6 cada una), Alemania (4), Francia y Estados Unidos (3 cada una), e India, Irán e Israel (2 cada una). No consta en 76 estudios. La caída de la representación rusa respecto del corpus previo a la enmienda —de 34 estudios a 7— es efecto directo del criterio de idioma y no de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80,6 %</w:t>
      </w:r>
      <w:r>
        <w:t xml:space="preserve"> de los estudios: el 70,2 % no la menciona en absoluto y un 10,5 %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57,3 %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52,4 %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98,4 %</w:t>
      </w:r>
      <w:r>
        <w:t>.</w:t>
      </w:r>
    </w:p>
    <w:p>
      <w:r>
        <w:t>Estas cifras describen el reporte en el resumen, no forzosamente en el artículo completo, y la distinción importa porque parte de la información puede estar en el texto. Ahora bien, el resumen es lo que indexan las bases y lo que alimenta las revisiones automatizadas. Que tres de cada cuatro estudios no declaren allí su categoría de resistencia implica que ninguna estratificación por MDR/XDR/PDR construida a partir de resúmenes puede ser correcta.</w:t>
      </w:r>
    </w:p>
    <w:p>
      <w:pPr>
        <w:pStyle w:val="Heading2"/>
      </w:pPr>
      <w:r>
        <w:t>3.5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Casi cuatro de cada diez estudios son casos únicos, en los que la proporción de éxito solo puede tomar los valores 0 o 1 y su varianza binomial es máxima. Agregar cuarenta y nueve denominadores de uno con unas pocas decenas de series mayores produce una media ponderada cuyo peso lo determina el tamaño de la serie y no la calidad de la evidencia.</w:t>
      </w:r>
    </w:p>
    <w:p>
      <w:r>
        <w:rPr>
          <w:b/>
        </w:rPr>
        <w:t>Desenlace.</w:t>
      </w:r>
      <w:r>
        <w:t xml:space="preserve"> Entre los estudios cuyo texto completo ya se ha leído,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Dos de los ensayos aleatorizados de referencia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ya recuperados,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sesgo de recuperación documentado en la sección 3.2, que en el estado actual excluiría de la síntesis a dos tercios de los estudios comparativos. </w:t>
      </w:r>
      <w:r>
        <w:rPr>
          <w:b/>
        </w:rPr>
        <w:t>Por estas razones no se presenta ninguna proporción agrupada de eficacia</w:t>
      </w:r>
      <w:r>
        <w:t>, y se sostiene que las publicadas en revisiones previas descansan sobre supuestos que estos datos no verifican.</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nueve fuentes, sin restricción de idioma, con literatura regional y registros de ensayos incluidos. El resultado son 184 estudios frente a las decenas que manejan las revisiones publicadas, y habrían sido 219 sin la restricción de idioma que se adoptó al final. Ese aumento no habla bien de la madurez del campo. La mayor parte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Casi cuatro de cada diez estudios recuperables son un caso único. Menos de uno de cada cinco es comparativo. En cuatro de cada cinco no puede asignarse la categoría de resistencia con la que se pretende estratificar. Y casi uno de cada tres estudios identificados existe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60 de 184 estudios sean fichas de registro sin publicación localizable es un problema de sesgo de publicación de primer orden, y no se resuelve con métodos estadísticos.</w:t>
      </w:r>
    </w:p>
    <w:p>
      <w:pPr>
        <w:pStyle w:val="Heading2"/>
      </w:pPr>
      <w:r>
        <w:t>4.4 Fortalezas y limitaciones</w:t>
      </w:r>
    </w:p>
    <w:p>
      <w:r>
        <w:rPr>
          <w:b/>
        </w:rPr>
        <w:t>Fortalezas.</w:t>
      </w:r>
      <w:r>
        <w:t xml:space="preserve"> La búsqueda abarcó nueve fuentes en dos corrientes separadas, sin restringir el idioma. La selección usó un vocabulario cerrado fijado de antemano y se auditó contra un conjunto de controles positivos definido antes de empezar, lo que permite afirmar, y no solo confiar, que el cribado no perdió estudios elegibles conocidos. Todo el canal es código reejecutable con claves derivadas del contenido, y una comprobación automática cuadra cada eslabón con el siguiente.</w:t>
      </w:r>
    </w:p>
    <w:p>
      <w:r>
        <w:rPr>
          <w:b/>
        </w:rPr>
        <w:t>Limitaciones.</w:t>
      </w:r>
      <w:r>
        <w:t xml:space="preserve"> Son cinco y todas materiales. </w:t>
      </w:r>
      <w:r>
        <w:rPr>
          <w:b/>
        </w:rPr>
        <w:t>Primera:</w:t>
      </w:r>
      <w:r>
        <w:t xml:space="preserve"> la búsqueda no interrogó Embase ni el ICTRP de la OMS, lo que reduce la cobertura de series de casos y resúmenes de congreso y deja la corriente de registros limitada a Estados Unidos y la Unión Europea. </w:t>
      </w:r>
      <w:r>
        <w:rPr>
          <w:b/>
        </w:rPr>
        <w:t>Segunda:</w:t>
      </w:r>
      <w:r>
        <w:t xml:space="preserve"> se limitó a publicaciones de 2016 a 2026, de modo que describe la producción reciente y no el campo entero. </w:t>
      </w:r>
      <w:r>
        <w:rPr>
          <w:b/>
        </w:rPr>
        <w:t>Tercera:</w:t>
      </w:r>
      <w:r>
        <w:t xml:space="preserve"> este informe no presenta desenlaces, ni riesgo de sesgo, ni certeza GRADE: es una caracterización del cuerpo de evidencia, no una síntesis de sus resultados. </w:t>
      </w:r>
      <w:r>
        <w:rPr>
          <w:b/>
        </w:rPr>
        <w:t>Cuarta:</w:t>
      </w:r>
      <w:r>
        <w:t xml:space="preserve"> el texto completo se obtuvo para el 73,4 % de los estudios recuperables, y la fracción faltante está enriquecida en diseños comparativos, de manera que lo descrito subrepresenta la parte comparativa del campo. </w:t>
      </w:r>
      <w:r>
        <w:rPr>
          <w:b/>
        </w:rPr>
        <w:t>Quinta:</w:t>
      </w:r>
      <w:r>
        <w:t xml:space="preserve"> la restricción a inglés y español se adoptó con el cribado ya terminado y eliminó 35 estudios, 18 de ellos comparativos y uno del conjunto de control positivo; empuja el corpus en la misma dirección que el sesgo de recuperación y reduce lo que esta revisión puede decir sobre la literatura de Europa del Este.</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(diseño y ejecución de las búsquedas en las nueve fuentes), software (canal de cribado, agrupación y cálculo de cifras), curación de datos, extracción de datos, redacción del borrador original, visualización, administración del proyecto. </w:t>
      </w:r>
      <w:r>
        <w:rPr>
          <w:b/>
        </w:rPr>
        <w:t>N. Trelles:</w:t>
      </w:r>
      <w:r>
        <w:t xml:space="preserve"> metodología (definiciones de desenlace), investigación, extracción de datos independiente (122 de los 124 estudios), validación, revisión y edición del manuscrito.</w:t>
      </w:r>
    </w:p>
    <w:p>
      <w:r>
        <w:rPr>
          <w:b/>
        </w:rPr>
        <w:t>Disponibilidad de datos y código.</w:t>
      </w:r>
      <w:r>
        <w:t xml:space="preserve"> Todo el material que sostiene esta revisión se deposita en un repositorio público y citable: el corpus de búsqueda con las exportaciones crudas de las nueve fuentes, los registros solo-anexar de decisión de las tres etapas de cribado, los cuadernos de extracción de ambos revisores, los registros de decisión metodológica con sus fechas, y el código completo del canal, que es reejecutable de la búsqueda a las cifras del manuscrito. ‹‹DOI DEL DEPÓSITO — PENDIENTE DE COMPLETAR ANTES DEL ENVÍO››. Los registros de decisión son solo-anexar y conservan cada corrección junto a la fila que sustituyen.</w:t>
      </w:r>
    </w:p>
    <w:p>
      <w:r>
        <w:rPr>
          <w:b/>
        </w:rPr>
        <w:t>Uso de inteligencia artificial.</w:t>
      </w:r>
      <w:r>
        <w:t xml:space="preserve"> El cribado lo condujo un solo revisor humano, sin duplicación por un segundo revisor. Se empleó un modelo de lenguaje generativo (Claude Opus 5, Anthropic) para emitir las decisiones registro a registro del cribado de títulos y resúmenes y para la pre-extracción desde resúmenes, aplicando criterios y un vocabulario cerrado que los autores fijaron antes de empezar, así como en asistencia de programación y redacción de borradores. Los informes que superaron el cribado los revisaron los autores uno a uno; los que el modelo excluyó no los releyó ningún humano. El diseño y la ejecución de las búsquedas, la fijación de los criterios de elegibilidad y la extracción de datos se realizaron sin intervención del modelo. Cada decisión de cribado está registrada con su motivo y su marca de tiempo, y se aporta íntegra (S3, S4). Los autores asumen la responsabilidad por la exactitud e integridad del trabajo. Ninguna herramienta de IA figura como autora, conforme a las recomendaciones del ICMJE.</w:t>
      </w:r>
    </w:p>
    <w:p>
      <w:r>
        <w:rPr>
          <w:b/>
        </w:rPr>
        <w:t>Agradecimientos.</w:t>
      </w:r>
      <w:r>
        <w:t xml:space="preserve"> Los autores agradecen al personal de la biblioteca de la Universidad Católica de Cuenca la gestión de las solicitudes de préstamo interbibliotecario, y a los autores de los estudios que respondieron a las peticiones de texto completo.</w:t>
      </w:r>
    </w:p>
    <w:p>
      <w:pPr>
        <w:pStyle w:val="Heading1"/>
      </w:pPr>
      <w:r>
        <w:t>Tablas y figuras</w:t>
      </w:r>
    </w:p>
    <w:p>
      <w:r>
        <w:t>Las cuatro tablas se aportan como archivos independientes (`paper/tablas/`), cada una con su nota al pie. Las dos figuras se aportan en PDF vectorial (`paper/figuras/`).</w:t>
      </w:r>
    </w:p>
    <w:p>
      <w:r>
        <w:rPr>
          <w:b/>
        </w:rPr>
        <w:t>Tabla 1.</w:t>
      </w:r>
      <w:r>
        <w:t xml:space="preserve"> Características del cuerpo de evidencia recuperable (n = 124 estudios).</w:t>
      </w:r>
    </w:p>
    <w:p>
      <w:r>
        <w:rPr>
          <w:b/>
        </w:rPr>
        <w:t>Tabla 2.</w:t>
      </w:r>
      <w:r>
        <w:t xml:space="preserve"> Completitud del reporte en las variables críticas para la estratificación.</w:t>
      </w:r>
    </w:p>
    <w:p>
      <w:r>
        <w:rPr>
          <w:b/>
        </w:rPr>
        <w:t>Tabla 3.</w:t>
      </w:r>
      <w:r>
        <w:t xml:space="preserve"> Comparación entre los estudios con y sin texto completo obtenido.</w:t>
      </w:r>
    </w:p>
    <w:p>
      <w:r>
        <w:rPr>
          <w:b/>
        </w:rPr>
        <w:t>Tabla 4.</w:t>
      </w:r>
      <w:r>
        <w:t xml:space="preserve"> Motivos de exclusión por etapa, con el vocabulario cerrado.</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con el desglose por el vocabulario cerrado de seis códigos (ORG, REV, SEC, LAB, VET, OFF; definidos en la Tabla 4). La corriente de registros entra por el lateral y no atraviesa la deduplicación bibliográfica, porque una ficha de registro no tiene DOI con el que colisionar contra un artículo. La caja final de la derecha no forma parte del flujo de selección: informa de cuántos de los estudios incluidos se han podido leer a texto completo hasta la fecha. </w:t>
      </w:r>
      <w:r>
        <w:rPr>
          <w:i/>
        </w:rPr>
        <w:t>Fuente.</w:t>
      </w:r>
      <w:r>
        <w:t xml:space="preserve"> Canal de cribado del proyecto; última ejecución de la búsqueda, 10 de agosto de 2026.</w:t>
      </w:r>
    </w:p>
    <w:p>
      <w:r>
        <w:rPr>
          <w:b/>
        </w:rPr>
        <w:t>Figura 2. Composición del cuerpo de evidencia recuperable (n = 124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124 estudios con publicación recuperable.</w:t>
      </w:r>
    </w:p>
    <w:p>
      <w:pPr>
        <w:pStyle w:val="Heading1"/>
      </w:pPr>
      <w:r>
        <w:t>Material suplementario</w:t>
      </w:r>
    </w:p>
    <w:p>
      <w:pPr>
        <w:pStyle w:val="ListBullet"/>
      </w:pPr>
      <w:r>
        <w:rPr>
          <w:b/>
        </w:rPr>
        <w:t>S0.</w:t>
      </w:r>
      <w:r>
        <w:t xml:space="preserve"> Informe editorial: qué se decidió, cuándo y con qué fundamento.</w:t>
      </w:r>
    </w:p>
    <w:p>
      <w:pPr>
        <w:pStyle w:val="ListBullet"/>
      </w:pPr>
      <w:r>
        <w:rPr>
          <w:b/>
        </w:rPr>
        <w:t>S1.</w:t>
      </w:r>
      <w:r>
        <w:t xml:space="preserve"> Lista de comprobación PRISMA 2020.</w:t>
      </w:r>
    </w:p>
    <w:p>
      <w:pPr>
        <w:pStyle w:val="ListBullet"/>
      </w:pPr>
      <w:r>
        <w:rPr>
          <w:b/>
        </w:rPr>
        <w:t>S2.</w:t>
      </w:r>
      <w:r>
        <w:t xml:space="preserve"> Ecuaciones de búsqueda literales por fuente, con fecha y número de resultados.</w:t>
      </w:r>
    </w:p>
    <w:p>
      <w:pPr>
        <w:pStyle w:val="ListBullet"/>
      </w:pPr>
      <w:r>
        <w:rPr>
          <w:b/>
        </w:rPr>
        <w:t>S3.</w:t>
      </w:r>
      <w:r>
        <w:t xml:space="preserve"> Registro completo de decisiones de cribado, en dos ficheros: etapa 2 (título) y etapa 3 (resumen). Cada fila lleva su motivo codificado, quién la emitió y su marca de tiempo.</w:t>
      </w:r>
    </w:p>
    <w:p>
      <w:pPr>
        <w:pStyle w:val="ListBullet"/>
      </w:pPr>
      <w:r>
        <w:rPr>
          <w:b/>
        </w:rPr>
        <w:t>S4.</w:t>
      </w:r>
      <w:r>
        <w:t xml:space="preserve"> Pre-extracción desde el resumen, marcada como parcial en cada registro.</w:t>
      </w:r>
    </w:p>
    <w:p>
      <w:pPr>
        <w:pStyle w:val="ListBullet"/>
      </w:pPr>
      <w:r>
        <w:rPr>
          <w:b/>
        </w:rPr>
        <w:t>S5.</w:t>
      </w:r>
      <w:r>
        <w:t xml:space="preserve"> Listado de los 184 estudios con su situación y sus informes agrupados.</w:t>
      </w:r>
    </w:p>
    <w:p>
      <w:pPr>
        <w:pStyle w:val="ListBullet"/>
      </w:pPr>
      <w:r>
        <w:rPr>
          <w:b/>
        </w:rPr>
        <w:t>S6.</w:t>
      </w:r>
      <w:r>
        <w:t xml:space="preserve"> Auditoría de controles positivos.</w:t>
      </w:r>
    </w:p>
    <w:p>
      <w:pPr>
        <w:pStyle w:val="ListBullet"/>
      </w:pPr>
      <w:r>
        <w:rPr>
          <w:b/>
        </w:rPr>
        <w:t>S7.</w:t>
      </w:r>
      <w:r>
        <w:t xml:space="preserve"> Declaraciones ICMJE.</w:t>
      </w:r>
    </w:p>
    <w:p>
      <w:pPr>
        <w:pStyle w:val="ListBullet"/>
      </w:pPr>
      <w:r>
        <w:rPr>
          <w:b/>
        </w:rPr>
        <w:t>S8.</w:t>
      </w:r>
      <w:r>
        <w:t xml:space="preserve"> Registro de recuperación de texto completo: qué se intentó por cada estudio y con qué resultado.</w:t>
      </w:r>
    </w:p>
    <w:p>
      <w:pPr>
        <w:pStyle w:val="ListBullet"/>
      </w:pPr>
      <w:r>
        <w:rPr>
          <w:b/>
        </w:rPr>
        <w:t>S9.</w:t>
      </w:r>
      <w:r>
        <w:t xml:space="preserve"> Idioma por informe, con la clase de evidencia que aportaba.</w:t>
      </w:r>
    </w:p>
    <w:p>
      <w:pPr>
        <w:pStyle w:val="ListBullet"/>
      </w:pPr>
      <w:r>
        <w:rPr>
          <w:b/>
        </w:rPr>
        <w:t>S10.</w:t>
      </w:r>
      <w:r>
        <w:t xml:space="preserve"> Verificación del idioma sobre el texto completo del PDF, no sobre los metadatos.</w:t>
      </w:r>
    </w:p>
    <w:p>
      <w:pPr>
        <w:pStyle w:val="ListBullet"/>
      </w:pPr>
      <w:r>
        <w:rPr>
          <w:b/>
        </w:rPr>
        <w:t>S11.</w:t>
      </w:r>
      <w:r>
        <w:t xml:space="preserve"> Concordancia entre las dos extracciones independientes, antes de resolver los desacuerdos.</w:t>
      </w:r>
    </w:p>
    <w:p>
      <w:pPr>
        <w:pStyle w:val="ListBullet"/>
      </w:pPr>
      <w:r>
        <w:rPr>
          <w:b/>
        </w:rPr>
        <w:t>S12.</w:t>
      </w:r>
      <w:r>
        <w:t xml:space="preserve"> Resolución de conflictos de extracción, incluidos los que no pueden dirimirse todavía.</w:t>
      </w:r>
    </w:p>
    <w:p>
      <w:pPr>
        <w:pStyle w:val="ListBullet"/>
      </w:pPr>
      <w:r>
        <w:rPr>
          <w:b/>
        </w:rPr>
        <w:t>S13.</w:t>
      </w:r>
      <w:r>
        <w:t xml:space="preserve"> Reglas de extracción de desenlaces, con su corrección documentada.</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