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i w:val="0"/>
          <w:sz w:val="22"/>
        </w:rPr>
        <w:t>Danny Valdiviezo</w:t>
      </w:r>
      <w:r>
        <w:rPr>
          <w:rFonts w:ascii="Times New Roman" w:hAnsi="Times New Roman"/>
          <w:b w:val="0"/>
          <w:i w:val="0"/>
          <w:sz w:val="22"/>
        </w:rPr>
        <w:t xml:space="preserve">^1^, </w:t>
      </w:r>
      <w:r>
        <w:rPr>
          <w:rFonts w:ascii="Times New Roman" w:hAnsi="Times New Roman"/>
          <w:b/>
          <w:i w:val="0"/>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i w:val="0"/>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i w:val="0"/>
          <w:sz w:val="22"/>
        </w:rPr>
        <w:t>Recuento de palabras:</w:t>
      </w:r>
      <w:r>
        <w:rPr>
          <w:rFonts w:ascii="Times New Roman" w:hAnsi="Times New Roman"/>
          <w:b w:val="0"/>
          <w:i w:val="0"/>
          <w:sz w:val="22"/>
        </w:rPr>
        <w:t xml:space="preserve"> resumen 262; texto principal 7 101.</w:t>
      </w:r>
    </w:p>
    <w:p>
      <w:pPr>
        <w:jc w:val="both"/>
      </w:pPr>
      <w:r>
        <w:rPr>
          <w:rFonts w:ascii="Times New Roman" w:hAnsi="Times New Roman"/>
          <w:b/>
          <w:i w:val="0"/>
          <w:sz w:val="22"/>
        </w:rPr>
        <w:t>Tablas:</w:t>
      </w:r>
      <w:r>
        <w:rPr>
          <w:rFonts w:ascii="Times New Roman" w:hAnsi="Times New Roman"/>
          <w:b w:val="0"/>
          <w:i w:val="0"/>
          <w:sz w:val="22"/>
        </w:rPr>
        <w:t xml:space="preserve"> 6. </w:t>
      </w:r>
      <w:r>
        <w:rPr>
          <w:rFonts w:ascii="Times New Roman" w:hAnsi="Times New Roman"/>
          <w:b/>
          <w:i w:val="0"/>
          <w:sz w:val="22"/>
        </w:rPr>
        <w:t>Figuras:</w:t>
      </w:r>
      <w:r>
        <w:rPr>
          <w:rFonts w:ascii="Times New Roman" w:hAnsi="Times New Roman"/>
          <w:b w:val="0"/>
          <w:i w:val="0"/>
          <w:sz w:val="22"/>
        </w:rPr>
        <w:t xml:space="preserve"> 2. </w:t>
      </w:r>
      <w:r>
        <w:rPr>
          <w:rFonts w:ascii="Times New Roman" w:hAnsi="Times New Roman"/>
          <w:b/>
          <w:i w:val="0"/>
          <w:sz w:val="22"/>
        </w:rPr>
        <w:t>Material suplementario:</w:t>
      </w:r>
      <w:r>
        <w:rPr>
          <w:rFonts w:ascii="Times New Roman" w:hAnsi="Times New Roman"/>
          <w:b w:val="0"/>
          <w:i w:val="0"/>
          <w:sz w:val="22"/>
        </w:rPr>
        <w:t xml:space="preserve"> 16 anexos (S0–S15) y su guía.</w:t>
      </w:r>
    </w:p>
    <w:p>
      <w:pPr>
        <w:spacing w:before="280" w:after="140"/>
      </w:pPr>
      <w:r>
        <w:rPr>
          <w:rFonts w:ascii="Times New Roman" w:hAnsi="Times New Roman"/>
          <w:b/>
          <w:i w:val="0"/>
          <w:sz w:val="24"/>
        </w:rPr>
        <w:t>Resumen</w:t>
      </w:r>
    </w:p>
    <w:p>
      <w:pPr>
        <w:jc w:val="both"/>
      </w:pPr>
      <w:r>
        <w:rPr>
          <w:rFonts w:ascii="Times New Roman" w:hAnsi="Times New Roman"/>
          <w:b/>
          <w:i w:val="0"/>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i w:val="0"/>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i w:val="0"/>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i w:val="0"/>
          <w:sz w:val="22"/>
        </w:rPr>
        <w:t>enmienda posterior al cribado</w:t>
      </w:r>
      <w:r>
        <w:rPr>
          <w:rFonts w:ascii="Times New Roman" w:hAnsi="Times New Roman"/>
          <w:b w:val="0"/>
          <w:i w:val="0"/>
          <w:sz w:val="22"/>
        </w:rPr>
        <w:t xml:space="preserve"> y verificado sobre el texto completo. La unidad fue el estudio. Extracción manual por duplicado, con consenso: la estructura sale de una pre-extracción desde el resumen; los desenlaces, de la adjudicada.</w:t>
      </w:r>
    </w:p>
    <w:p>
      <w:pPr>
        <w:jc w:val="both"/>
      </w:pPr>
      <w:r>
        <w:rPr>
          <w:rFonts w:ascii="Times New Roman" w:hAnsi="Times New Roman"/>
          <w:b/>
          <w:i w:val="0"/>
          <w:sz w:val="22"/>
        </w:rPr>
        <w:t>Resultados.</w:t>
      </w:r>
      <w:r>
        <w:rPr>
          <w:rFonts w:ascii="Times New Roman" w:hAnsi="Times New Roman"/>
          <w:b w:val="0"/>
          <w:i w:val="0"/>
          <w:sz w:val="22"/>
        </w:rPr>
        <w:t xml:space="preserve"> De 23 057 registros quedaron 17 129 informes únicos;233 informes formaron 184 estudios y, al leer los textos completos, </w:t>
      </w:r>
      <w:r>
        <w:rPr>
          <w:rFonts w:ascii="Times New Roman" w:hAnsi="Times New Roman"/>
          <w:b/>
          <w:i w:val="0"/>
          <w:sz w:val="22"/>
        </w:rPr>
        <w:t>29 salieron del corpus</w:t>
      </w:r>
      <w:r>
        <w:rPr>
          <w:rFonts w:ascii="Times New Roman" w:hAnsi="Times New Roman"/>
          <w:b w:val="0"/>
          <w:i w:val="0"/>
          <w:sz w:val="22"/>
        </w:rPr>
        <w:t xml:space="preserv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i w:val="0"/>
          <w:sz w:val="22"/>
        </w:rPr>
        <w:t>155</w:t>
      </w:r>
      <w:r>
        <w:rPr>
          <w:rFonts w:ascii="Times New Roman" w:hAnsi="Times New Roman"/>
          <w:b w:val="0"/>
          <w:i w:val="0"/>
          <w:sz w:val="22"/>
        </w:rPr>
        <w:t xml:space="preserve">, 95 con publicación recuperable. Casos únicos, 44,2 %; comparativos, 11,6 %; sin clase de resistencia asignable, 75,8 %. Se obtuvo el texto completo de 71 (74,7 %), y lo que falta concentra el 54,5 % de los comparativos; el criterio de idioma eliminó 35 estudios más. En 69 de los 103 brazos (67,0 %) no consta definición operativa del éxito clínico, y solo 2 reúnen diseño comparativo, numerador, denominador y definición. Descontado el que mide tiempo, </w:t>
      </w:r>
      <w:r>
        <w:rPr>
          <w:rFonts w:ascii="Times New Roman" w:hAnsi="Times New Roman"/>
          <w:b/>
          <w:i w:val="0"/>
          <w:sz w:val="22"/>
        </w:rPr>
        <w:t>no queda ninguno</w:t>
      </w:r>
      <w:r>
        <w:rPr>
          <w:rFonts w:ascii="Times New Roman" w:hAnsi="Times New Roman"/>
          <w:b w:val="0"/>
          <w:i w:val="0"/>
          <w:sz w:val="22"/>
        </w:rPr>
        <w:t>.</w:t>
      </w:r>
    </w:p>
    <w:p>
      <w:pPr>
        <w:jc w:val="both"/>
      </w:pPr>
      <w:r>
        <w:rPr>
          <w:rFonts w:ascii="Times New Roman" w:hAnsi="Times New Roman"/>
          <w:b/>
          <w:i w:val="0"/>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i w:val="0"/>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i w:val="0"/>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i w:val="0"/>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i w:val="0"/>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i w:val="0"/>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i w:val="0"/>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i w:val="0"/>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i w:val="0"/>
          <w:sz w:val="22"/>
        </w:rPr>
        <w:t>Idioma.</w:t>
      </w:r>
      <w:r>
        <w:rPr>
          <w:rFonts w:ascii="Times New Roman" w:hAnsi="Times New Roman"/>
          <w:b w:val="0"/>
          <w:i w:val="0"/>
          <w:sz w:val="22"/>
        </w:rPr>
        <w:t xml:space="preserve"> Se admitieron informes redactados en inglés o en español. </w:t>
      </w:r>
      <w:r>
        <w:rPr>
          <w:rFonts w:ascii="Times New Roman" w:hAnsi="Times New Roman"/>
          <w:b/>
          <w:i w:val="0"/>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i w:val="0"/>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pPr>
        <w:jc w:val="both"/>
      </w:pPr>
      <w:r>
        <w:rPr>
          <w:rFonts w:ascii="Times New Roman" w:hAnsi="Times New Roman"/>
          <w:b/>
          <w:i w:val="0"/>
          <w:sz w:val="22"/>
        </w:rPr>
        <w:t>Unidad de inclusión.</w:t>
      </w:r>
      <w:r>
        <w:rPr>
          <w:rFonts w:ascii="Times New Roman" w:hAnsi="Times New Roman"/>
          <w:b w:val="0"/>
          <w:i w:val="0"/>
          <w:sz w:val="22"/>
        </w:rPr>
        <w:t xml:space="preserve"> El </w:t>
      </w:r>
      <w:r>
        <w:rPr>
          <w:rFonts w:ascii="Times New Roman" w:hAnsi="Times New Roman"/>
          <w:b/>
          <w:i w:val="0"/>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i w:val="0"/>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i w:val="0"/>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i w:val="0"/>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i w:val="0"/>
          <w:sz w:val="22"/>
        </w:rPr>
        <w:t>Embase no se interrogó</w:t>
      </w:r>
      <w:r>
        <w:rPr>
          <w:rFonts w:ascii="Times New Roman" w:hAnsi="Times New Roman"/>
          <w:b w:val="0"/>
          <w:i w:val="0"/>
          <w:sz w:val="22"/>
        </w:rPr>
        <w:t>, por no estar disponible en la suscripción institucional, y tampoco el ICTRP de la OMS. La última ejecución fue el 10 de agosto de 2026.</w:t>
      </w:r>
    </w:p>
    <w:p>
      <w:pPr>
        <w:jc w:val="both"/>
      </w:pPr>
      <w:r>
        <w:rPr>
          <w:rFonts w:ascii="Times New Roman" w:hAnsi="Times New Roman"/>
          <w:b w:val="0"/>
          <w:i w:val="0"/>
          <w:sz w:val="22"/>
        </w:rP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37 estudios que declaran procedencia, 14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i w:val="0"/>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i w:val="0"/>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i w:val="0"/>
          <w:sz w:val="22"/>
        </w:rPr>
        <w:t>etapa 2</w:t>
      </w:r>
      <w:r>
        <w:rPr>
          <w:rFonts w:ascii="Times New Roman" w:hAnsi="Times New Roman"/>
          <w:b w:val="0"/>
          <w:i w:val="0"/>
          <w:sz w:val="22"/>
        </w:rPr>
        <w:t xml:space="preserve"> cribó títulos y la </w:t>
      </w:r>
      <w:r>
        <w:rPr>
          <w:rFonts w:ascii="Times New Roman" w:hAnsi="Times New Roman"/>
          <w:b/>
          <w:i w:val="0"/>
          <w:sz w:val="22"/>
        </w:rPr>
        <w:t>etapa 3</w:t>
      </w:r>
      <w:r>
        <w:rPr>
          <w:rFonts w:ascii="Times New Roman" w:hAnsi="Times New Roman"/>
          <w:b w:val="0"/>
          <w:i w:val="0"/>
          <w:sz w:val="22"/>
        </w:rPr>
        <w:t xml:space="preserve">, resúmenes. Ambas usaron un </w:t>
      </w:r>
      <w:r>
        <w:rPr>
          <w:rFonts w:ascii="Times New Roman" w:hAnsi="Times New Roman"/>
          <w:b/>
          <w:i w:val="0"/>
          <w:sz w:val="22"/>
        </w:rPr>
        <w:t>vocabulario cerrado de seis códigos</w:t>
      </w:r>
      <w:r>
        <w:rPr>
          <w:rFonts w:ascii="Times New Roman" w:hAnsi="Times New Roman"/>
          <w:b w:val="0"/>
          <w:i w:val="0"/>
          <w:sz w:val="22"/>
        </w:rPr>
        <w:t xml:space="preserve"> (ORG, REV, SEC, LAB, VET, OFF) fijado antes de empezar. Un motivo que no encaje en uno de los seis no recibe un séptimo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etapas 2 y 3 las condujo </w:t>
      </w:r>
      <w:r>
        <w:rPr>
          <w:rFonts w:ascii="Times New Roman" w:hAnsi="Times New Roman"/>
          <w:b/>
          <w:i w:val="0"/>
          <w:sz w:val="22"/>
        </w:rPr>
        <w:t>un solo revisor humano (D.V.), sin duplicación por un segundo revisor</w:t>
      </w:r>
      <w:r>
        <w:rPr>
          <w:rFonts w:ascii="Times New Roman" w:hAnsi="Times New Roman"/>
          <w:b w:val="0"/>
          <w:i w:val="0"/>
          <w:sz w:val="22"/>
        </w:rP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pPr>
        <w:jc w:val="both"/>
      </w:pPr>
      <w:r>
        <w:rPr>
          <w:rFonts w:ascii="Times New Roman" w:hAnsi="Times New Roman"/>
          <w:b w:val="0"/>
          <w:i w:val="0"/>
          <w:sz w:val="22"/>
        </w:rP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i w:val="0"/>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i w:val="0"/>
          <w:sz w:val="22"/>
        </w:rPr>
        <w:t>extracción desde el texto completo</w:t>
      </w:r>
      <w:r>
        <w:rPr>
          <w:rFonts w:ascii="Times New Roman" w:hAnsi="Times New Roman"/>
          <w:b w:val="0"/>
          <w:i w:val="0"/>
          <w:sz w:val="22"/>
        </w:rPr>
        <w:t>, de la que salen la sección 3.5 y la tabla 5, la realizaron los dos revisores a mano y sin intervención del modelo (sección 2.6).</w:t>
      </w:r>
    </w:p>
    <w:p>
      <w:pPr>
        <w:jc w:val="both"/>
      </w:pPr>
      <w:r>
        <w:rPr>
          <w:rFonts w:ascii="Times New Roman" w:hAnsi="Times New Roman"/>
          <w:b w:val="0"/>
          <w:i w:val="0"/>
          <w:sz w:val="22"/>
        </w:rPr>
        <w:t xml:space="preserve">Los registros de decisión son </w:t>
      </w:r>
      <w:r>
        <w:rPr>
          <w:rFonts w:ascii="Times New Roman" w:hAnsi="Times New Roman"/>
          <w:b/>
          <w:i w:val="0"/>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40 estudios conocidos a priori como elegibles, identificados en una revisión exploratoria previa. Tras cada etapa se comprobó que </w:t>
      </w:r>
      <w:r>
        <w:rPr>
          <w:rFonts w:ascii="Times New Roman" w:hAnsi="Times New Roman"/>
          <w:b/>
          <w:i w:val="0"/>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pPr>
        <w:jc w:val="both"/>
      </w:pPr>
      <w:r>
        <w:rPr>
          <w:rFonts w:ascii="Times New Roman" w:hAnsi="Times New Roman"/>
          <w:b/>
          <w:i w:val="0"/>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rFonts w:ascii="Times New Roman" w:hAnsi="Times New Roman"/>
          <w:b/>
          <w:i w:val="0"/>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con 23 variables de datos y vocabularios controlados, se piloteó sobre cinco estudios antes de su uso. La extracción se hizo </w:t>
      </w:r>
      <w:r>
        <w:rPr>
          <w:rFonts w:ascii="Times New Roman" w:hAnsi="Times New Roman"/>
          <w:b/>
          <w:i w:val="0"/>
          <w:sz w:val="22"/>
        </w:rPr>
        <w:t>por duplicado e independiente</w:t>
      </w:r>
      <w:r>
        <w:rPr>
          <w:rFonts w:ascii="Times New Roman" w:hAnsi="Times New Roman"/>
          <w:b w:val="0"/>
          <w:i w:val="0"/>
          <w:sz w:val="22"/>
        </w:rPr>
        <w:t xml:space="preserve"> entre los dos revisores. Un revisor extrajo los 124 estudios que entonces tenían publicación recuperable —95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pPr>
        <w:jc w:val="both"/>
      </w:pPr>
      <w:r>
        <w:rPr>
          <w:rFonts w:ascii="Times New Roman" w:hAnsi="Times New Roman"/>
          <w:b w:val="0"/>
          <w:i w:val="0"/>
          <w:sz w:val="22"/>
        </w:rPr>
        <w:t>La caracterización estructural del corpus (secciones 3.1 a 3.4, tablas 1 a 4) procede de una pre-extracción sistemática desde el resumen de los 95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i w:val="0"/>
          <w:sz w:val="22"/>
        </w:rPr>
        <w:t>solo en los estudios con diseño comparativo y solo en aquellos cuyo texto completo se obtuvo</w:t>
      </w:r>
      <w:r>
        <w:rPr>
          <w:rFonts w:ascii="Times New Roman" w:hAnsi="Times New Roman"/>
          <w:b w:val="0"/>
          <w:i w:val="0"/>
          <w:sz w:val="22"/>
        </w:rPr>
        <w:t>: 11 de los 12 que el diseño adjudicado sobre el artículo identifica como comparativos. Los ensayos aleatorizados con RoB 2 (10) y los no aleatorizados y las cohortes con ROBINS-I (11). El estudio restante es un ensayo aleatorizado sin texto completo: no se evalúa, y tampoco recibe un juicio desfavorable por esa razón.</w:t>
      </w:r>
    </w:p>
    <w:p>
      <w:pPr>
        <w:jc w:val="both"/>
      </w:pPr>
      <w:r>
        <w:rPr>
          <w:rFonts w:ascii="Times New Roman" w:hAnsi="Times New Roman"/>
          <w:b w:val="0"/>
          <w:i w:val="0"/>
          <w:sz w:val="22"/>
        </w:rPr>
        <w:t xml:space="preserve">La evaluación se emite </w:t>
      </w:r>
      <w:r>
        <w:rPr>
          <w:rFonts w:ascii="Times New Roman" w:hAnsi="Times New Roman"/>
          <w:b/>
          <w:i w:val="0"/>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i w:val="0"/>
          <w:sz w:val="22"/>
        </w:rPr>
        <w:t>Los juicios se emiten por consenso entre los dos autores, no por duplicado independiente.</w:t>
      </w:r>
      <w:r>
        <w:rPr>
          <w:rFonts w:ascii="Times New Roman" w:hAnsi="Times New Roman"/>
          <w:b w:val="0"/>
          <w:i w:val="0"/>
          <w:sz w:val="22"/>
        </w:rPr>
        <w:t xml:space="preserve"> A diferencia de la extracción de datos (sección 2.6), esta evaluación no admite una medida de concordancia entre revisores, y no se reporta ninguna. La limitación consta en la sección 4.4.</w:t>
      </w:r>
    </w:p>
    <w:p>
      <w:pPr>
        <w:jc w:val="both"/>
      </w:pPr>
      <w:r>
        <w:rPr>
          <w:rFonts w:ascii="Times New Roman" w:hAnsi="Times New Roman"/>
          <w:b/>
          <w:i w:val="0"/>
          <w:sz w:val="22"/>
        </w:rPr>
        <w:t>GRADE no se aplica</w:t>
      </w:r>
      <w:r>
        <w:rPr>
          <w:rFonts w:ascii="Times New Roman" w:hAnsi="Times New Roman"/>
          <w:b w:val="0"/>
          <w:i w:val="0"/>
          <w:sz w:val="22"/>
        </w:rPr>
        <w:t>, y el motivo no depende de lo anterior: califica la certeza de una estimación agrupada y esta revisión no presenta ninguna. La sección 3.5 muestra que solo 2 de los 103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82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Dos enmiendas al protocolo</w:t>
      </w:r>
    </w:p>
    <w:p>
      <w:pPr>
        <w:jc w:val="both"/>
      </w:pPr>
      <w:r>
        <w:rPr>
          <w:rFonts w:ascii="Times New Roman" w:hAnsi="Times New Roman"/>
          <w:b w:val="0"/>
          <w:i w:val="0"/>
          <w:sz w:val="22"/>
        </w:rP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i w:val="0"/>
          <w:sz w:val="22"/>
        </w:rPr>
        <w:t>35 informes</w:t>
      </w:r>
      <w:r>
        <w:rPr>
          <w:rFonts w:ascii="Times New Roman" w:hAnsi="Times New Roman"/>
          <w:b w:val="0"/>
          <w:i w:val="0"/>
          <w:sz w:val="22"/>
        </w:rPr>
        <w:t xml:space="preserve"> y con ellos </w:t>
      </w:r>
      <w:r>
        <w:rPr>
          <w:rFonts w:ascii="Times New Roman" w:hAnsi="Times New Roman"/>
          <w:b/>
          <w:i w:val="0"/>
          <w:sz w:val="22"/>
        </w:rPr>
        <w:t>35 estudios completos</w:t>
      </w:r>
      <w:r>
        <w:rPr>
          <w:rFonts w:ascii="Times New Roman" w:hAnsi="Times New Roman"/>
          <w:b w:val="0"/>
          <w:i w:val="0"/>
          <w:sz w:val="22"/>
        </w:rP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i w:val="0"/>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i w:val="0"/>
          <w:sz w:val="22"/>
        </w:rPr>
        <w:t>Segunda enmienda: los estudios cuyo texto completo no se consiguió salen del corpus.</w:t>
      </w:r>
      <w:r>
        <w:rPr>
          <w:rFonts w:ascii="Times New Roman" w:hAnsi="Times New Roman"/>
          <w:b w:val="0"/>
          <w:i w:val="0"/>
          <w:sz w:val="22"/>
        </w:rPr>
        <w:t xml:space="preserve"> Adoptada el 2 de septiembre de 2026, también con el cribado concluido. Es de otra naturaleza que la primera y conviene no disimularlo: los demás motivos de exclusión se refieren a lo que el </w:t>
      </w:r>
      <w:r>
        <w:rPr>
          <w:rFonts w:ascii="Times New Roman" w:hAnsi="Times New Roman"/>
          <w:b/>
          <w:i w:val="0"/>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i w:val="0"/>
          <w:sz w:val="22"/>
        </w:rPr>
        <w:t>esta revisión no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i w:val="0"/>
          <w:sz w:val="22"/>
        </w:rPr>
        <w:t>1 estudio</w:t>
      </w:r>
      <w:r>
        <w:rPr>
          <w:rFonts w:ascii="Times New Roman" w:hAnsi="Times New Roman"/>
          <w:b w:val="0"/>
          <w:i w:val="0"/>
          <w:sz w:val="22"/>
        </w:rPr>
        <w:t xml:space="preserve">, un ensayo aleatorizado del que solo existe una copia en un repositorio institucional, en versión previa a revisión por pares y tras una barrera de acceso automatizado. Y su efecto potencial es mucho mayor, de modo que declararlo es obligatorio: </w:t>
      </w:r>
      <w:r>
        <w:rPr>
          <w:rFonts w:ascii="Times New Roman" w:hAnsi="Times New Roman"/>
          <w:b/>
          <w:i w:val="0"/>
          <w:sz w:val="22"/>
        </w:rPr>
        <w:t>aplicado a los 24 estudios que siguen sin texto completo, el corpus pasaría de 155 a 131 estudios, los comparativos de 11 a 5 y los ensayos aleatorizados de 7 a 3</w:t>
      </w:r>
      <w:r>
        <w:rPr>
          <w:rFonts w:ascii="Times New Roman" w:hAnsi="Times New Roman"/>
          <w:b w:val="0"/>
          <w:i w:val="0"/>
          <w:sz w:val="22"/>
        </w:rPr>
        <w:t xml:space="preserve">, y la tasa de recuperación de texto completo pasaría a ser del 100 % </w:t>
      </w:r>
      <w:r>
        <w:rPr>
          <w:rFonts w:ascii="Times New Roman" w:hAnsi="Times New Roman"/>
          <w:b/>
          <w:i w:val="0"/>
          <w:sz w:val="22"/>
        </w:rPr>
        <w:t>por construcción</w:t>
      </w:r>
      <w:r>
        <w:rPr>
          <w:rFonts w:ascii="Times New Roman" w:hAnsi="Times New Roman"/>
          <w:b w:val="0"/>
          <w:i w:val="0"/>
          <w:sz w:val="22"/>
        </w:rPr>
        <w:t>. Es decir, el sesgo de recuperación que la sección 3.2 mide dejaría de poder medirse, porque el criterio lo elimina por definición en lugar de resolverlo. Esta revisión no lo aplica de esa forma, y el lector debe saber que la cifra del 74,7 % convive con una exclusión que, generalizada, la volvería vacía.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nueve fuentes aportaron </w:t>
      </w:r>
      <w:r>
        <w:rPr>
          <w:rFonts w:ascii="Times New Roman" w:hAnsi="Times New Roman"/>
          <w:b/>
          <w:i w:val="0"/>
          <w:sz w:val="22"/>
        </w:rPr>
        <w:t>23 057 registros</w:t>
      </w:r>
      <w:r>
        <w:rPr>
          <w:rFonts w:ascii="Times New Roman" w:hAnsi="Times New Roman"/>
          <w:b w:val="0"/>
          <w:i w:val="0"/>
          <w:sz w:val="22"/>
        </w:rPr>
        <w:t xml:space="preserve">, de los que se eliminaron 5 928 duplicados para dejar </w:t>
      </w:r>
      <w:r>
        <w:rPr>
          <w:rFonts w:ascii="Times New Roman" w:hAnsi="Times New Roman"/>
          <w:b/>
          <w:i w:val="0"/>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i w:val="0"/>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i w:val="0"/>
          <w:sz w:val="22"/>
        </w:rPr>
        <w:t>184 estudios evaluados para elegibilidad</w:t>
      </w:r>
      <w:r>
        <w:rPr>
          <w:rFonts w:ascii="Times New Roman" w:hAnsi="Times New Roman"/>
          <w:b w:val="0"/>
          <w:i w:val="0"/>
          <w:sz w:val="22"/>
        </w:rPr>
        <w:t xml:space="preserve">. Al leer sus textos completos durante la extracción se comprobó que </w:t>
      </w:r>
      <w:r>
        <w:rPr>
          <w:rFonts w:ascii="Times New Roman" w:hAnsi="Times New Roman"/>
          <w:b/>
          <w:i w:val="0"/>
          <w:sz w:val="22"/>
        </w:rPr>
        <w:t>29 de ellos salieron del corpus</w:t>
      </w:r>
      <w:r>
        <w:rPr>
          <w:rFonts w:ascii="Times New Roman" w:hAnsi="Times New Roman"/>
          <w:b w:val="0"/>
          <w:i w:val="0"/>
          <w:sz w:val="22"/>
        </w:rPr>
        <w:t xml:space="preserve">, y se excluyeron; el apartado siguiente los detalla. El cuerpo de evidencia queda en </w:t>
      </w:r>
      <w:r>
        <w:rPr>
          <w:rFonts w:ascii="Times New Roman" w:hAnsi="Times New Roman"/>
          <w:b/>
          <w:i w:val="0"/>
          <w:sz w:val="22"/>
        </w:rPr>
        <w:t>155 estudios</w:t>
      </w:r>
      <w:r>
        <w:rPr>
          <w:rFonts w:ascii="Times New Roman" w:hAnsi="Times New Roman"/>
          <w:b w:val="0"/>
          <w:i w:val="0"/>
          <w:sz w:val="22"/>
        </w:rPr>
        <w:t>, que agrupan 190 informes: 132 con un solo informe y 23 con varios, hasta un máximo de once informes de un mismo ensayo.</w:t>
      </w:r>
    </w:p>
    <w:p>
      <w:pPr>
        <w:spacing w:before="200" w:after="100"/>
      </w:pPr>
      <w:r>
        <w:rPr>
          <w:rFonts w:ascii="Times New Roman" w:hAnsi="Times New Roman"/>
          <w:b/>
          <w:i w:val="0"/>
          <w:sz w:val="22"/>
        </w:rPr>
        <w:t>3.1.1 Veintinueve estudios que el cribado admitió y que salieron después</w:t>
      </w:r>
    </w:p>
    <w:p>
      <w:pPr>
        <w:jc w:val="both"/>
      </w:pPr>
      <w:r>
        <w:rPr>
          <w:rFonts w:ascii="Times New Roman" w:hAnsi="Times New Roman"/>
          <w:b w:val="0"/>
          <w:i w:val="0"/>
          <w:sz w:val="22"/>
        </w:rPr>
        <w:t xml:space="preserve">Los 29 se excluyeron por ocho motivos, y ninguno es una discrepancia de criterio: son estudios que no cumplen lo que la sección 2.2 ya exigía. </w:t>
      </w:r>
      <w:r>
        <w:rPr>
          <w:rFonts w:ascii="Times New Roman" w:hAnsi="Times New Roman"/>
          <w:b/>
          <w:i w:val="0"/>
          <w:sz w:val="22"/>
        </w:rPr>
        <w:t>Veinticuatro</w:t>
      </w:r>
      <w:r>
        <w:rPr>
          <w:rFonts w:ascii="Times New Roman" w:hAnsi="Times New Roman"/>
          <w:b w:val="0"/>
          <w:i w:val="0"/>
          <w:sz w:val="22"/>
        </w:rPr>
        <w:t xml:space="preserve"> salieron de leer su artículo. </w:t>
      </w:r>
      <w:r>
        <w:rPr>
          <w:rFonts w:ascii="Times New Roman" w:hAnsi="Times New Roman"/>
          <w:b/>
          <w:i w:val="0"/>
          <w:sz w:val="22"/>
        </w:rPr>
        <w:t>Once</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o en la lista de referencias—; uno de ellos no nombra microorganismo alguno. </w:t>
      </w:r>
      <w:r>
        <w:rPr>
          <w:rFonts w:ascii="Times New Roman" w:hAnsi="Times New Roman"/>
          <w:b/>
          <w:i w:val="0"/>
          <w:sz w:val="22"/>
        </w:rPr>
        <w:t>Cuatro</w:t>
      </w:r>
      <w:r>
        <w:rPr>
          <w:rFonts w:ascii="Times New Roman" w:hAnsi="Times New Roman"/>
          <w:b w:val="0"/>
          <w:i w:val="0"/>
          <w:sz w:val="22"/>
        </w:rPr>
        <w:t xml:space="preserve"> son protocolos de estudio: describen lo que se hará y no reportan desenlaces. </w:t>
      </w:r>
      <w:r>
        <w:rPr>
          <w:rFonts w:ascii="Times New Roman" w:hAnsi="Times New Roman"/>
          <w:b/>
          <w:i w:val="0"/>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i w:val="0"/>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i w:val="0"/>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i w:val="0"/>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w:t>
      </w:r>
    </w:p>
    <w:p>
      <w:pPr>
        <w:jc w:val="both"/>
      </w:pPr>
      <w:r>
        <w:rPr>
          <w:rFonts w:ascii="Times New Roman" w:hAnsi="Times New Roman"/>
          <w:b w:val="0"/>
          <w:i w:val="0"/>
          <w:sz w:val="22"/>
        </w:rPr>
        <w:t xml:space="preserve">Los </w:t>
      </w:r>
      <w:r>
        <w:rPr>
          <w:rFonts w:ascii="Times New Roman" w:hAnsi="Times New Roman"/>
          <w:b/>
          <w:i w:val="0"/>
          <w:sz w:val="22"/>
        </w:rPr>
        <w:t>cuatro restantes</w:t>
      </w:r>
      <w:r>
        <w:rPr>
          <w:rFonts w:ascii="Times New Roman" w:hAnsi="Times New Roman"/>
          <w:b w:val="0"/>
          <w:i w:val="0"/>
          <w:sz w:val="22"/>
        </w:rPr>
        <w:t xml:space="preserve"> salieron por </w:t>
      </w:r>
      <w:r>
        <w:rPr>
          <w:rFonts w:ascii="Times New Roman" w:hAnsi="Times New Roman"/>
          <w:b/>
          <w:i w:val="0"/>
          <w:sz w:val="22"/>
        </w:rPr>
        <w:t>idioma</w:t>
      </w:r>
      <w:r>
        <w:rPr>
          <w:rFonts w:ascii="Times New Roman" w:hAnsi="Times New Roman"/>
          <w:b w:val="0"/>
          <w:i w:val="0"/>
          <w:sz w:val="22"/>
        </w:rPr>
        <w:t xml:space="preserve">, y se detectaron de otro modo. Los cuatro se publicaron en la misma revista rusa, y el criterio de la sección 2.5 los había conservado por una premisa que resultó falsa: que esa revista edita una versión íntegra en inglés. No la edita. Medido sobre la página del editor y </w:t>
      </w:r>
      <w:r>
        <w:rPr>
          <w:rFonts w:ascii="Times New Roman" w:hAnsi="Times New Roman"/>
          <w:b/>
          <w:i w:val="0"/>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los diez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i w:val="0"/>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son </w:t>
      </w:r>
      <w:r>
        <w:rPr>
          <w:rFonts w:ascii="Times New Roman" w:hAnsi="Times New Roman"/>
          <w:b/>
          <w:i w:val="0"/>
          <w:sz w:val="22"/>
        </w:rPr>
        <w:t>29 de los 95 estudios extraíbles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i w:val="0"/>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22 son la otra cara de esa limitación, y son el </w:t>
      </w:r>
      <w:r>
        <w:rPr>
          <w:rFonts w:ascii="Times New Roman" w:hAnsi="Times New Roman"/>
          <w:b/>
          <w:i w:val="0"/>
          <w:sz w:val="22"/>
        </w:rPr>
        <w:t>23,7 %</w:t>
      </w:r>
      <w:r>
        <w:rPr>
          <w:rFonts w:ascii="Times New Roman" w:hAnsi="Times New Roman"/>
          <w:b w:val="0"/>
          <w:i w:val="0"/>
          <w:sz w:val="22"/>
        </w:rPr>
        <w:t xml:space="preserve"> de los 93 estudios cuyo texto completo se pudo leer. Es un suelo, no un total: los 31 estudios sin texto completo no se han podido comprobar contra nada.</w:t>
      </w:r>
    </w:p>
    <w:p>
      <w:pPr>
        <w:jc w:val="both"/>
      </w:pPr>
      <w:r>
        <w:rPr>
          <w:rFonts w:ascii="Times New Roman" w:hAnsi="Times New Roman"/>
          <w:b w:val="0"/>
          <w:i w:val="0"/>
          <w:sz w:val="22"/>
        </w:rPr>
        <w:t xml:space="preserve">De los 155 estudios, </w:t>
      </w:r>
      <w:r>
        <w:rPr>
          <w:rFonts w:ascii="Times New Roman" w:hAnsi="Times New Roman"/>
          <w:b/>
          <w:i w:val="0"/>
          <w:sz w:val="22"/>
        </w:rPr>
        <w:t>95 tienen publicación recuperable</w:t>
      </w:r>
      <w:r>
        <w:rPr>
          <w:rFonts w:ascii="Times New Roman" w:hAnsi="Times New Roman"/>
          <w:b w:val="0"/>
          <w:i w:val="0"/>
          <w:sz w:val="22"/>
        </w:rPr>
        <w:t xml:space="preserve">: 92 artículos y 3 que solo existen como resumen de congreso. Los </w:t>
      </w:r>
      <w:r>
        <w:rPr>
          <w:rFonts w:ascii="Times New Roman" w:hAnsi="Times New Roman"/>
          <w:b/>
          <w:i w:val="0"/>
          <w:sz w:val="22"/>
        </w:rPr>
        <w:t>60 restantes son únicamente fichas de registro de ensayo</w:t>
      </w:r>
      <w:r>
        <w:rPr>
          <w:rFonts w:ascii="Times New Roman" w:hAnsi="Times New Roman"/>
          <w:b w:val="0"/>
          <w:i w:val="0"/>
          <w:sz w:val="22"/>
        </w:rPr>
        <w:t>, sin publicación asociada localizable. Esa cifra basta por sí sola para describir un campo en el que más de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i w:val="0"/>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Se obtuvo el texto completo de </w:t>
      </w:r>
      <w:r>
        <w:rPr>
          <w:rFonts w:ascii="Times New Roman" w:hAnsi="Times New Roman"/>
          <w:b/>
          <w:i w:val="0"/>
          <w:sz w:val="22"/>
        </w:rPr>
        <w:t>71 de los 95 estudios recuperables (74,7 %)</w:t>
      </w:r>
      <w:r>
        <w:rPr>
          <w:rFonts w:ascii="Times New Roman" w:hAnsi="Times New Roman"/>
          <w:b w:val="0"/>
          <w:i w:val="0"/>
          <w:sz w:val="22"/>
        </w:rPr>
        <w:t xml:space="preserve"> por vías de acceso abierto legítimas. Los 24 restantes siguen sin obtenerse. Su disponibilidad se recomprobó el 2 de septiembre de 2026 contra tres índices independientes —Europe PMC, OpenAlex y Semantic Scholar—, y </w:t>
      </w:r>
      <w:r>
        <w:rPr>
          <w:rFonts w:ascii="Times New Roman" w:hAnsi="Times New Roman"/>
          <w:b/>
          <w:i w:val="0"/>
          <w:sz w:val="22"/>
        </w:rPr>
        <w:t>ninguno de los 24 tiene hoy una copia de acceso abierto</w:t>
      </w:r>
      <w:r>
        <w:rPr>
          <w:rFonts w:ascii="Times New Roman" w:hAnsi="Times New Roman"/>
          <w:b w:val="0"/>
          <w:i w:val="0"/>
          <w:sz w:val="22"/>
        </w:rPr>
        <w:t>. No se solicitaron por préstamo interbibliotecario ni a los autores: el hueco documental que esta revisión declara no está mitigado por ninguna vía adicional, y esa es la razón por la que se reporta como límite y no como pendiente.</w:t>
      </w:r>
    </w:p>
    <w:p>
      <w:pPr>
        <w:jc w:val="both"/>
      </w:pPr>
      <w:r>
        <w:rPr>
          <w:rFonts w:ascii="Times New Roman" w:hAnsi="Times New Roman"/>
          <w:b w:val="0"/>
          <w:i w:val="0"/>
          <w:sz w:val="22"/>
        </w:rPr>
        <w:t xml:space="preserve">La fracción no obtenida </w:t>
      </w:r>
      <w:r>
        <w:rPr>
          <w:rFonts w:ascii="Times New Roman" w:hAnsi="Times New Roman"/>
          <w:b/>
          <w:i w:val="0"/>
          <w:sz w:val="22"/>
        </w:rPr>
        <w:t>no es una muestra aleatoria del conjunto</w:t>
      </w:r>
      <w:r>
        <w:rPr>
          <w:rFonts w:ascii="Times New Roman" w:hAnsi="Times New Roman"/>
          <w:b w:val="0"/>
          <w:i w:val="0"/>
          <w:sz w:val="22"/>
        </w:rPr>
        <w:t xml:space="preserve"> (Tabla 3). Contiene 6 de los 11 estudios comparativos, el </w:t>
      </w:r>
      <w:r>
        <w:rPr>
          <w:rFonts w:ascii="Times New Roman" w:hAnsi="Times New Roman"/>
          <w:b/>
          <w:i w:val="0"/>
          <w:sz w:val="22"/>
        </w:rPr>
        <w:t>54,5 %</w:t>
      </w:r>
      <w:r>
        <w:rPr>
          <w:rFonts w:ascii="Times New Roman" w:hAnsi="Times New Roman"/>
          <w:b w:val="0"/>
          <w:i w:val="0"/>
          <w:sz w:val="22"/>
        </w:rPr>
        <w:t>, y, aunque declara menos pacientes en total, concentra los diseños que sostienen una comparación. De los siete ensayos aleatorizados del corpus se leyeron tres a texto completo —PhagoBurn (17), BX004-A (18) y un ensayo de 2026 en unidad de cuidados intensivos—, y cuatro siguen sin leerse, entre ellos el de TP-102 (19). La fracción que falta contiene, por tanto, la mayoría de los ensayos aleatorizados identificados.</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95 estudios recuperables se publicaron entre </w:t>
      </w:r>
      <w:r>
        <w:rPr>
          <w:rFonts w:ascii="Times New Roman" w:hAnsi="Times New Roman"/>
          <w:b/>
          <w:i w:val="0"/>
          <w:sz w:val="22"/>
        </w:rPr>
        <w:t>2016 y 2026</w:t>
      </w:r>
      <w:r>
        <w:rPr>
          <w:rFonts w:ascii="Times New Roman" w:hAnsi="Times New Roman"/>
          <w:b w:val="0"/>
          <w:i w:val="0"/>
          <w:sz w:val="22"/>
        </w:rPr>
        <w:t xml:space="preserve">, y el </w:t>
      </w:r>
      <w:r>
        <w:rPr>
          <w:rFonts w:ascii="Times New Roman" w:hAnsi="Times New Roman"/>
          <w:b/>
          <w:i w:val="0"/>
          <w:sz w:val="22"/>
        </w:rPr>
        <w:t>80,0 %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i w:val="0"/>
          <w:sz w:val="22"/>
        </w:rPr>
        <w:t>42 reportes de caso único (44,2 %)</w:t>
      </w:r>
      <w:r>
        <w:rPr>
          <w:rFonts w:ascii="Times New Roman" w:hAnsi="Times New Roman"/>
          <w:b w:val="0"/>
          <w:i w:val="0"/>
          <w:sz w:val="22"/>
        </w:rPr>
        <w:t xml:space="preserve">, 18 series de casos, 13 cohortes prospectivas, 7 ensayos aleatorizados, 4 ensayos no aleatorizados y 3 cohortes retrospectivas. Otros 8 no declaran su diseño de forma reconocible en el resumen. Los comparativos suman </w:t>
      </w:r>
      <w:r>
        <w:rPr>
          <w:rFonts w:ascii="Times New Roman" w:hAnsi="Times New Roman"/>
          <w:b/>
          <w:i w:val="0"/>
          <w:sz w:val="22"/>
        </w:rPr>
        <w:t>11 estudios, el 11,6 %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clase de resistencia</w:t>
      </w:r>
      <w:r>
        <w:rPr>
          <w:rFonts w:ascii="Times New Roman" w:hAnsi="Times New Roman"/>
          <w:b w:val="0"/>
          <w:i w:val="0"/>
          <w:sz w:val="22"/>
        </w:rPr>
        <w:t xml:space="preserve"> (MDR, XDR o PDR) no puede asignarse en el </w:t>
      </w:r>
      <w:r>
        <w:rPr>
          <w:rFonts w:ascii="Times New Roman" w:hAnsi="Times New Roman"/>
          <w:b/>
          <w:i w:val="0"/>
          <w:sz w:val="22"/>
        </w:rPr>
        <w:t>75,8 %</w:t>
      </w:r>
      <w:r>
        <w:rPr>
          <w:rFonts w:ascii="Times New Roman" w:hAnsi="Times New Roman"/>
          <w:b w:val="0"/>
          <w:i w:val="0"/>
          <w:sz w:val="22"/>
        </w:rPr>
        <w:t xml:space="preserve"> de los estudios: el 62,1 % no la menciona en absoluto y un 13,7 %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i w:val="0"/>
          <w:sz w:val="22"/>
        </w:rPr>
        <w:t>vía de administración</w:t>
      </w:r>
      <w:r>
        <w:rPr>
          <w:rFonts w:ascii="Times New Roman" w:hAnsi="Times New Roman"/>
          <w:b w:val="0"/>
          <w:i w:val="0"/>
          <w:sz w:val="22"/>
        </w:rPr>
        <w:t xml:space="preserve"> no consta en el </w:t>
      </w:r>
      <w:r>
        <w:rPr>
          <w:rFonts w:ascii="Times New Roman" w:hAnsi="Times New Roman"/>
          <w:b/>
          <w:i w:val="0"/>
          <w:sz w:val="22"/>
        </w:rPr>
        <w:t>52,6 %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i w:val="0"/>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i w:val="0"/>
          <w:sz w:val="22"/>
        </w:rPr>
        <w:t>38,9 %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i w:val="0"/>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i w:val="0"/>
          <w:sz w:val="22"/>
        </w:rPr>
        <w:t>97,9 %</w:t>
      </w:r>
      <w:r>
        <w:rPr>
          <w:rFonts w:ascii="Times New Roman" w:hAnsi="Times New Roman"/>
          <w:b w:val="0"/>
          <w:i w:val="0"/>
          <w:sz w:val="22"/>
        </w:rPr>
        <w:t>.</w:t>
      </w:r>
    </w:p>
    <w:p>
      <w:pPr>
        <w:jc w:val="both"/>
      </w:pPr>
      <w:r>
        <w:rPr>
          <w:rFonts w:ascii="Times New Roman" w:hAnsi="Times New Roman"/>
          <w:b w:val="0"/>
          <w:i w:val="0"/>
          <w:sz w:val="22"/>
        </w:rP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103 brazos del corpus vigente.</w:t>
      </w:r>
    </w:p>
    <w:p>
      <w:pPr>
        <w:jc w:val="both"/>
      </w:pPr>
      <w:r>
        <w:rPr>
          <w:rFonts w:ascii="Times New Roman" w:hAnsi="Times New Roman"/>
          <w:b w:val="0"/>
          <w:i w:val="0"/>
          <w:sz w:val="22"/>
        </w:rPr>
        <w:t>La completitud es desigual y, en el mejor de los casos, parcial. Los eventos adversos son lo que más se reporta con denominador (77,7 % de los brazos) y la emergencia de resistencia al fago lo que menos (27,2 %), pese a ser el desenlace que decide si la intervención conserva su utilidad. Esos porcentajes se calculan sobre los 103 brazos, e incluyen por tanto 24 de estudios cuyo texto completo no se ha recuperado: de un artículo que no se ha podido leer no cabe afirmar que calle. Sobre los 79 brazos legibles las cifras suben —del 77,7 % al 88,6 % en eventos adversos, del 27,2 % al 35,4 % en resistencia—, y la tabla 5 da las dos columnas para que el lector distinga el silencio de la literatura del hueco documental de esta revisión. El éxito clínico, que es el que las síntesis publicadas agregan, consta con numerador y denominador en el 68,9 % de los brazos. Dos brazos reportan un numerador mayor que su denominador —trece éxitos clínicos sobre un paciente, y cinco eventos adversos sobre cuatro—; se señalan como error de reporte y no se leen como proporciones.</w:t>
      </w:r>
    </w:p>
    <w:p>
      <w:pPr>
        <w:jc w:val="both"/>
      </w:pPr>
      <w:r>
        <w:rPr>
          <w:rFonts w:ascii="Times New Roman" w:hAnsi="Times New Roman"/>
          <w:b w:val="0"/>
          <w:i w:val="0"/>
          <w:sz w:val="22"/>
        </w:rPr>
        <w:t xml:space="preserve">Ese 68,9 % es, sin embargo, engañoso si se lee como disponibilidad para agregar. </w:t>
      </w:r>
      <w:r>
        <w:rPr>
          <w:rFonts w:ascii="Times New Roman" w:hAnsi="Times New Roman"/>
          <w:b/>
          <w:i w:val="0"/>
          <w:sz w:val="22"/>
        </w:rPr>
        <w:t>En 69 de los 103 brazos (67,0 %) no consta una definición operativa de éxito clínico</w:t>
      </w:r>
      <w:r>
        <w:rPr>
          <w:rFonts w:ascii="Times New Roman" w:hAnsi="Times New Roman"/>
          <w:b w:val="0"/>
          <w:i w:val="0"/>
          <w:sz w:val="22"/>
        </w:rPr>
        <w:t>; sobre los 79 brazos legibles, en 45 (57,0 %). En 48 de ellos los revisores lo establecieron leyendo el artículo: 47 declaran un número de pacientes con «buen resultado» sin decir qué había que observar para contarlo, y 1 dejó el campo sin dato. En los 21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pPr>
        <w:jc w:val="both"/>
      </w:pPr>
      <w:r>
        <w:rPr>
          <w:rFonts w:ascii="Times New Roman" w:hAnsi="Times New Roman"/>
          <w:b w:val="0"/>
          <w:i w:val="0"/>
          <w:sz w:val="22"/>
        </w:rPr>
        <w:t xml:space="preserve">El diseño tampoco consta siempre: en 19 de los 103 brazos no puede clasificarse —12 en que los dos revisores acordaron «NA» y 7 que siguen abiertos—, de modo que los recuentos por diseño son suelos sobre los 84 restantes. De esos 84, </w:t>
      </w:r>
      <w:r>
        <w:rPr>
          <w:rFonts w:ascii="Times New Roman" w:hAnsi="Times New Roman"/>
          <w:b/>
          <w:i w:val="0"/>
          <w:sz w:val="22"/>
        </w:rPr>
        <w:t>7 brazos son ensayos</w:t>
      </w:r>
      <w:r>
        <w:rPr>
          <w:rFonts w:ascii="Times New Roman" w:hAnsi="Times New Roman"/>
          <w:b w:val="0"/>
          <w:i w:val="0"/>
          <w:sz w:val="22"/>
        </w:rPr>
        <w:t xml:space="preserve"> (aleatorizados o no) y </w:t>
      </w:r>
      <w:r>
        <w:rPr>
          <w:rFonts w:ascii="Times New Roman" w:hAnsi="Times New Roman"/>
          <w:b/>
          <w:i w:val="0"/>
          <w:sz w:val="22"/>
        </w:rPr>
        <w:t>9 son cohortes</w:t>
      </w:r>
      <w:r>
        <w:rPr>
          <w:rFonts w:ascii="Times New Roman" w:hAnsi="Times New Roman"/>
          <w:b w:val="0"/>
          <w:i w:val="0"/>
          <w:sz w:val="22"/>
        </w:rPr>
        <w:t>. La sección 3.3 y la tabla 1 llaman «comparativos» solo a los ensayos, y por eso allí la cifra es 11 estudios: cuando en esta sección se dice «comparativo» se incluyen también las cohortes, y son 16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i w:val="0"/>
          <w:sz w:val="22"/>
        </w:rPr>
        <w:t>2 brazos de los 103</w:t>
      </w:r>
      <w:r>
        <w:rPr>
          <w:rFonts w:ascii="Times New Roman" w:hAnsi="Times New Roman"/>
          <w:b w:val="0"/>
          <w:i w:val="0"/>
          <w:sz w:val="22"/>
        </w:rPr>
        <w:t>. Los dos siguientes son los criterios de elegibilidad que esta misma revisión declara en la sección 2.2, y ninguno de esos 3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rFonts w:ascii="Times New Roman" w:hAnsi="Times New Roman"/>
          <w:b w:val="0"/>
          <w:i/>
          <w:sz w:val="22"/>
        </w:rPr>
        <w:t>prevención</w:t>
      </w:r>
      <w:r>
        <w:rPr>
          <w:rFonts w:ascii="Times New Roman" w:hAnsi="Times New Roman"/>
          <w:b w:val="0"/>
          <w:i w:val="0"/>
          <w:sz w:val="22"/>
        </w:rPr>
        <w:t xml:space="preserve"> de neumonía asociada a ventilación, y su desenlace —ausencia de neumonía incidente— no mide lo mismo que la curación de una infección establecida. Queda 1.</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i w:val="0"/>
          <w:sz w:val="22"/>
        </w:rPr>
        <w:t>No queda ninguno.</w:t>
      </w:r>
    </w:p>
    <w:p>
      <w:pPr>
        <w:jc w:val="both"/>
      </w:pPr>
      <w:r>
        <w:rPr>
          <w:rFonts w:ascii="Times New Roman" w:hAnsi="Times New Roman"/>
          <w:b w:val="0"/>
          <w:i w:val="0"/>
          <w:sz w:val="22"/>
        </w:rPr>
        <w:t xml:space="preserve">Dicho de otro modo: de los 103 brazos de esta literatura, </w:t>
      </w:r>
      <w:r>
        <w:rPr>
          <w:rFonts w:ascii="Times New Roman" w:hAnsi="Times New Roman"/>
          <w:b/>
          <w:i w:val="0"/>
          <w:sz w:val="22"/>
        </w:rPr>
        <w:t>ninguno reúne a la vez las condiciones aritméticas y los criterios de elegibilidad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i w:val="0"/>
          <w:sz w:val="22"/>
        </w:rPr>
        <w:t>Denominadores.</w:t>
      </w:r>
      <w:r>
        <w:rPr>
          <w:rFonts w:ascii="Times New Roman" w:hAnsi="Times New Roman"/>
          <w:b w:val="0"/>
          <w:i w:val="0"/>
          <w:sz w:val="22"/>
        </w:rP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pPr>
        <w:jc w:val="both"/>
      </w:pPr>
      <w:r>
        <w:rPr>
          <w:rFonts w:ascii="Times New Roman" w:hAnsi="Times New Roman"/>
          <w:b/>
          <w:i w:val="0"/>
          <w:sz w:val="22"/>
        </w:rPr>
        <w:t>Desenlace.</w:t>
      </w:r>
      <w:r>
        <w:rPr>
          <w:rFonts w:ascii="Times New Roman" w:hAnsi="Times New Roman"/>
          <w:b w:val="0"/>
          <w:i w:val="0"/>
          <w:sz w:val="22"/>
        </w:rP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i w:val="0"/>
          <w:sz w:val="22"/>
        </w:rPr>
        <w:t>Dos de los ensayos aleatorizados de referencia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ya recuperados, no de la pre-extracción desde resúmenes: </w:t>
      </w:r>
      <w:r>
        <w:rPr>
          <w:rFonts w:ascii="Times New Roman" w:hAnsi="Times New Roman"/>
          <w:b/>
          <w:i w:val="0"/>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i w:val="0"/>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sesgo de recuperación documentado en la sección 3.2, que en el estado actual excluiría de la síntesis a dos tercios de los estudios comparativos. </w:t>
      </w:r>
      <w:r>
        <w:rPr>
          <w:rFonts w:ascii="Times New Roman" w:hAnsi="Times New Roman"/>
          <w:b/>
          <w:i w:val="0"/>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3 estudios evaluados con RoB 2, el juicio global es de bajo riesgo en 2 y de algunas preocupaciones en 1. De los 8 estudios evaluados con ROBINS-I, el juicio global es de riesgo moderado en 2 y de riesgo grave en 6. El dominio que más juicios desfavorables concentra en ROBINS-I —alto riesgo en RoB 2; grave o crítico en ROBINS-I— es «sesgo por confusión», con 6 de 8. Los 82 juicios se emitieron en una evaluación única acordada entre los dos autores; al no haber dos lecturas independientes, no se reporta concordancia entre revisores.</w:t>
      </w:r>
    </w:p>
    <w:p>
      <w:pPr>
        <w:spacing w:before="240" w:after="100" w:line="240" w:lineRule="auto"/>
      </w:pPr>
      <w:r>
        <w:rPr>
          <w:rFonts w:ascii="Times New Roman" w:hAnsi="Times New Roman"/>
          <w:b/>
          <w:i w:val="0"/>
          <w:sz w:val="18"/>
        </w:rPr>
        <w:t>Tabla 7.</w:t>
      </w:r>
      <w:r>
        <w:rPr>
          <w:rFonts w:ascii="Times New Roman" w:hAnsi="Times New Roman"/>
          <w:b w:val="0"/>
          <w:i w:val="0"/>
          <w:sz w:val="18"/>
        </w:rPr>
        <w:t xml:space="preserve"> Riesgo de sesgo por dominio de los 11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EST-132</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EST-055</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EST-063</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nueve fuentes, sin restricción de idioma, con literatura regional y registros de ensayos incluidos. El resultado son 155 estudios frente a las decenas que manejan las revisiones publicadas, y habrían sido 219 sin la restricción de idioma que se adoptó al final y sin los 29 que salieron después. Ese aumento no habla bien de la madurez del campo. La mayor parte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i w:val="0"/>
          <w:sz w:val="22"/>
        </w:rPr>
        <w:t>la amplitud del cuerpo de evidencia no se traduce en capacidad de síntesis</w:t>
      </w:r>
      <w:r>
        <w:rPr>
          <w:rFonts w:ascii="Times New Roman" w:hAnsi="Times New Roman"/>
          <w:b w:val="0"/>
          <w:i w:val="0"/>
          <w:sz w:val="22"/>
        </w:rP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spacing w:before="200" w:after="100"/>
      </w:pPr>
      <w:r>
        <w:rPr>
          <w:rFonts w:ascii="Times New Roman" w:hAnsi="Times New Roman"/>
          <w:b/>
          <w:i w:val="0"/>
          <w:sz w:val="22"/>
        </w:rPr>
        <w:t>4.3 Implicaciones</w:t>
      </w:r>
    </w:p>
    <w:p>
      <w:pPr>
        <w:jc w:val="both"/>
      </w:pPr>
      <w:r>
        <w:rPr>
          <w:rFonts w:ascii="Times New Roman" w:hAnsi="Times New Roman"/>
          <w:b/>
          <w:i w:val="0"/>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i w:val="0"/>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i w:val="0"/>
          <w:sz w:val="22"/>
        </w:rPr>
        <w:t>Para los registros.</w:t>
      </w:r>
      <w:r>
        <w:rPr>
          <w:rFonts w:ascii="Times New Roman" w:hAnsi="Times New Roman"/>
          <w:b w:val="0"/>
          <w:i w:val="0"/>
          <w:sz w:val="22"/>
        </w:rPr>
        <w:t xml:space="preserve"> Que 60 de 155 estudios sean fichas de registro sin publicación localizable es un problema de sesgo de publicación de primer orden, y no se resuelve con métodos estadísticos.</w:t>
      </w:r>
    </w:p>
    <w:p>
      <w:pPr>
        <w:spacing w:before="200" w:after="100"/>
      </w:pPr>
      <w:r>
        <w:rPr>
          <w:rFonts w:ascii="Times New Roman" w:hAnsi="Times New Roman"/>
          <w:b/>
          <w:i w:val="0"/>
          <w:sz w:val="22"/>
        </w:rPr>
        <w:t>4.4 Fortalezas y limitaciones</w:t>
      </w:r>
    </w:p>
    <w:p>
      <w:pPr>
        <w:jc w:val="both"/>
      </w:pPr>
      <w:r>
        <w:rPr>
          <w:rFonts w:ascii="Times New Roman" w:hAnsi="Times New Roman"/>
          <w:b/>
          <w:i w:val="0"/>
          <w:sz w:val="22"/>
        </w:rPr>
        <w:t>Fortalezas.</w:t>
      </w:r>
      <w:r>
        <w:rPr>
          <w:rFonts w:ascii="Times New Roman" w:hAnsi="Times New Roman"/>
          <w:b w:val="0"/>
          <w:i w:val="0"/>
          <w:sz w:val="22"/>
        </w:rP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pPr>
        <w:jc w:val="both"/>
      </w:pPr>
      <w:r>
        <w:rPr>
          <w:rFonts w:ascii="Times New Roman" w:hAnsi="Times New Roman"/>
          <w:b/>
          <w:i w:val="0"/>
          <w:sz w:val="22"/>
        </w:rPr>
        <w:t>Limitaciones.</w:t>
      </w:r>
      <w:r>
        <w:rPr>
          <w:rFonts w:ascii="Times New Roman" w:hAnsi="Times New Roman"/>
          <w:b w:val="0"/>
          <w:i w:val="0"/>
          <w:sz w:val="22"/>
        </w:rPr>
        <w:t xml:space="preserve"> Son seis y todas materiales. </w:t>
      </w:r>
      <w:r>
        <w:rPr>
          <w:rFonts w:ascii="Times New Roman" w:hAnsi="Times New Roman"/>
          <w:b/>
          <w:i w:val="0"/>
          <w:sz w:val="22"/>
        </w:rPr>
        <w:t>Primera:</w:t>
      </w:r>
      <w:r>
        <w:rPr>
          <w:rFonts w:ascii="Times New Roman" w:hAnsi="Times New Roman"/>
          <w:b w:val="0"/>
          <w:i w:val="0"/>
          <w:sz w:val="22"/>
        </w:rPr>
        <w:t xml:space="preserve"> el corpus excluye un estudio por no haberse podido leer su texto completo (sección 2.9), y ese criterio, aplicado de forma consistente a los 24 restantes sin texto, vaciaría de contenido la medición del sesgo de recuperación; se declara aquí porque una exclusión que depende del acceso del revisor, y no del contenido del estudio, no es comparable con las demás. </w:t>
      </w:r>
      <w:r>
        <w:rPr>
          <w:rFonts w:ascii="Times New Roman" w:hAnsi="Times New Roman"/>
          <w:b/>
          <w:i w:val="0"/>
          <w:sz w:val="22"/>
        </w:rPr>
        <w:t>Segunda: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i w:val="0"/>
          <w:sz w:val="22"/>
        </w:rPr>
        <w:t>Tercera: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i w:val="0"/>
          <w:sz w:val="22"/>
        </w:rPr>
        <w:t>Cuarta: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sesgo de recuperación y no admite medida de concordancia entre revisores. </w:t>
      </w:r>
      <w:r>
        <w:rPr>
          <w:rFonts w:ascii="Times New Roman" w:hAnsi="Times New Roman"/>
          <w:b/>
          <w:i w:val="0"/>
          <w:sz w:val="22"/>
        </w:rPr>
        <w:t>Quinta:</w:t>
      </w:r>
      <w:r>
        <w:rPr>
          <w:rFonts w:ascii="Times New Roman" w:hAnsi="Times New Roman"/>
          <w:b w:val="0"/>
          <w:i w:val="0"/>
          <w:sz w:val="22"/>
        </w:rPr>
        <w:t xml:space="preserve"> el texto completo se obtuvo para el 74,7 % de los estudios recuperables, y la fracción faltante está enriquecida en diseños comparativos, de manera que lo descrito subrepresenta la parte comparativa del campo. </w:t>
      </w:r>
      <w:r>
        <w:rPr>
          <w:rFonts w:ascii="Times New Roman" w:hAnsi="Times New Roman"/>
          <w:b/>
          <w:i w:val="0"/>
          <w:sz w:val="22"/>
        </w:rPr>
        <w:t>Sexta:</w:t>
      </w:r>
      <w:r>
        <w:rPr>
          <w:rFonts w:ascii="Times New Roman" w:hAnsi="Times New Roman"/>
          <w:b w:val="0"/>
          <w:i w:val="0"/>
          <w:sz w:val="22"/>
        </w:rP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i w:val="0"/>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i w:val="0"/>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i w:val="0"/>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i w:val="0"/>
          <w:sz w:val="22"/>
        </w:rPr>
        <w:t>Contribución de los autores (CRediT).</w:t>
      </w:r>
      <w:r>
        <w:rPr>
          <w:rFonts w:ascii="Times New Roman" w:hAnsi="Times New Roman"/>
          <w:b w:val="0"/>
          <w:i w:val="0"/>
          <w:sz w:val="22"/>
        </w:rPr>
        <w:t xml:space="preserve"> </w:t>
      </w:r>
      <w:r>
        <w:rPr>
          <w:rFonts w:ascii="Times New Roman" w:hAnsi="Times New Roman"/>
          <w:b/>
          <w:i w:val="0"/>
          <w:sz w:val="22"/>
        </w:rPr>
        <w:t>D. Valdiviezo:</w:t>
      </w:r>
      <w:r>
        <w:rPr>
          <w:rFonts w:ascii="Times New Roman" w:hAnsi="Times New Roman"/>
          <w:b w:val="0"/>
          <w:i w:val="0"/>
          <w:sz w:val="22"/>
        </w:rP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rFonts w:ascii="Times New Roman" w:hAnsi="Times New Roman"/>
          <w:b/>
          <w:i w:val="0"/>
          <w:sz w:val="22"/>
        </w:rPr>
        <w:t>N. Trelles:</w:t>
      </w:r>
      <w:r>
        <w:rPr>
          <w:rFonts w:ascii="Times New Roman" w:hAnsi="Times New Roman"/>
          <w:b w:val="0"/>
          <w:i w:val="0"/>
          <w:sz w:val="22"/>
        </w:rPr>
        <w:t xml:space="preserve"> metodología (definiciones de desenlace), investigación, extracción de datos independiente (122 de los 124 estudios), validación, revisión y edición del manuscrito.</w:t>
      </w:r>
    </w:p>
    <w:p>
      <w:pPr>
        <w:jc w:val="both"/>
      </w:pPr>
      <w:r>
        <w:rPr>
          <w:rFonts w:ascii="Times New Roman" w:hAnsi="Times New Roman"/>
          <w:b/>
          <w:i w:val="0"/>
          <w:sz w:val="22"/>
        </w:rPr>
        <w:t>Disponibilidad de datos y código.</w:t>
      </w:r>
      <w:r>
        <w:rPr>
          <w:rFonts w:ascii="Times New Roman" w:hAnsi="Times New Roman"/>
          <w:b w:val="0"/>
          <w:i w:val="0"/>
          <w:sz w:val="22"/>
        </w:rP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pPr>
        <w:jc w:val="both"/>
      </w:pPr>
      <w:r>
        <w:rPr>
          <w:rFonts w:ascii="Times New Roman" w:hAnsi="Times New Roman"/>
          <w:b/>
          <w:i w:val="0"/>
          <w:sz w:val="22"/>
        </w:rPr>
        <w:t>Uso de inteligencia artificial.</w:t>
      </w:r>
      <w:r>
        <w:rPr>
          <w:rFonts w:ascii="Times New Roman" w:hAnsi="Times New Roman"/>
          <w:b w:val="0"/>
          <w:i w:val="0"/>
          <w:sz w:val="22"/>
        </w:rP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i w:val="0"/>
          <w:sz w:val="18"/>
        </w:rPr>
        <w:t>Tabla 1.</w:t>
      </w:r>
      <w:r>
        <w:rPr>
          <w:rFonts w:ascii="Times New Roman" w:hAnsi="Times New Roman"/>
          <w:b w:val="0"/>
          <w:i w:val="0"/>
          <w:sz w:val="18"/>
        </w:rPr>
        <w:t xml:space="preserve"> Características del cuerpo de evidencia recuperable (n = 95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2016–2026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76</w:t>
            </w:r>
          </w:p>
        </w:tc>
        <w:tc>
          <w:tcPr>
            <w:tcW w:type="dxa" w:w="3009"/>
          </w:tcPr>
          <w:p>
            <w:r/>
            <w:r>
              <w:rPr>
                <w:rFonts w:ascii="Times New Roman" w:hAnsi="Times New Roman"/>
                <w:b w:val="0"/>
                <w:i w:val="0"/>
                <w:sz w:val="18"/>
              </w:rPr>
              <w:t>80.0</w:t>
            </w:r>
          </w:p>
        </w:tc>
      </w:tr>
      <w:tr>
        <w:tc>
          <w:tcPr>
            <w:tcW w:type="dxa" w:w="3009"/>
          </w:tcPr>
          <w:p>
            <w:r/>
            <w:r>
              <w:rPr>
                <w:rFonts w:ascii="Times New Roman" w:hAnsi="Times New Roman"/>
                <w:b/>
                <w:i w:val="0"/>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42</w:t>
            </w:r>
          </w:p>
        </w:tc>
        <w:tc>
          <w:tcPr>
            <w:tcW w:type="dxa" w:w="3009"/>
          </w:tcPr>
          <w:p>
            <w:r/>
            <w:r>
              <w:rPr>
                <w:rFonts w:ascii="Times New Roman" w:hAnsi="Times New Roman"/>
                <w:b w:val="0"/>
                <w:i w:val="0"/>
                <w:sz w:val="18"/>
              </w:rPr>
              <w:t>44.2</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18</w:t>
            </w:r>
          </w:p>
        </w:tc>
        <w:tc>
          <w:tcPr>
            <w:tcW w:type="dxa" w:w="3009"/>
          </w:tcPr>
          <w:p>
            <w:r/>
            <w:r>
              <w:rPr>
                <w:rFonts w:ascii="Times New Roman" w:hAnsi="Times New Roman"/>
                <w:b w:val="0"/>
                <w:i w:val="0"/>
                <w:sz w:val="18"/>
              </w:rPr>
              <w:t>18.9</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13</w:t>
            </w:r>
          </w:p>
        </w:tc>
        <w:tc>
          <w:tcPr>
            <w:tcW w:type="dxa" w:w="3009"/>
          </w:tcPr>
          <w:p>
            <w:r/>
            <w:r>
              <w:rPr>
                <w:rFonts w:ascii="Times New Roman" w:hAnsi="Times New Roman"/>
                <w:b w:val="0"/>
                <w:i w:val="0"/>
                <w:sz w:val="18"/>
              </w:rPr>
              <w:t>13.7</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8</w:t>
            </w:r>
          </w:p>
        </w:tc>
        <w:tc>
          <w:tcPr>
            <w:tcW w:type="dxa" w:w="3009"/>
          </w:tcPr>
          <w:p>
            <w:r/>
            <w:r>
              <w:rPr>
                <w:rFonts w:ascii="Times New Roman" w:hAnsi="Times New Roman"/>
                <w:b w:val="0"/>
                <w:i w:val="0"/>
                <w:sz w:val="18"/>
              </w:rPr>
              <w:t>8.4</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Ensayo no aleatorizado</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4.2</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i w:val="0"/>
                <w:sz w:val="18"/>
              </w:rPr>
              <w:t>Diseños comparativos (total)</w:t>
            </w:r>
          </w:p>
        </w:tc>
        <w:tc>
          <w:tcPr>
            <w:tcW w:type="dxa" w:w="3009"/>
          </w:tcPr>
          <w:p>
            <w:r/>
            <w:r>
              <w:rPr>
                <w:rFonts w:ascii="Times New Roman" w:hAnsi="Times New Roman"/>
                <w:b w:val="0"/>
                <w:i w:val="0"/>
                <w:sz w:val="18"/>
              </w:rPr>
              <w:t>11</w:t>
            </w:r>
          </w:p>
        </w:tc>
        <w:tc>
          <w:tcPr>
            <w:tcW w:type="dxa" w:w="3009"/>
          </w:tcPr>
          <w:p>
            <w:r/>
            <w:r>
              <w:rPr>
                <w:rFonts w:ascii="Times New Roman" w:hAnsi="Times New Roman"/>
                <w:b w:val="0"/>
                <w:i w:val="0"/>
                <w:sz w:val="18"/>
              </w:rPr>
              <w:t>11.6</w:t>
            </w:r>
          </w:p>
        </w:tc>
      </w:tr>
      <w:tr>
        <w:tc>
          <w:tcPr>
            <w:tcW w:type="dxa" w:w="3009"/>
          </w:tcPr>
          <w:p>
            <w:r/>
            <w:r>
              <w:rPr>
                <w:rFonts w:ascii="Times New Roman" w:hAnsi="Times New Roman"/>
                <w:b/>
                <w:i w:val="0"/>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5.3</w:t>
            </w:r>
          </w:p>
        </w:tc>
      </w:tr>
      <w:tr>
        <w:tc>
          <w:tcPr>
            <w:tcW w:type="dxa" w:w="3009"/>
          </w:tcPr>
          <w:p>
            <w:r/>
            <w:r>
              <w:rPr>
                <w:rFonts w:ascii="Times New Roman" w:hAnsi="Times New Roman"/>
                <w:b w:val="0"/>
                <w:i w:val="0"/>
                <w:sz w:val="18"/>
              </w:rPr>
              <w:t>Alemania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Rusia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3.2</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España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India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Israel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2.1</w:t>
            </w:r>
          </w:p>
        </w:tc>
      </w:tr>
      <w:tr>
        <w:tc>
          <w:tcPr>
            <w:tcW w:type="dxa" w:w="3009"/>
          </w:tcPr>
          <w:p>
            <w:r/>
            <w:r>
              <w:rPr>
                <w:rFonts w:ascii="Times New Roman" w:hAnsi="Times New Roman"/>
                <w:b w:val="0"/>
                <w:i w:val="0"/>
                <w:sz w:val="18"/>
              </w:rPr>
              <w:t>Otros 7 países, un estudio cada uno</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7.4</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58</w:t>
            </w:r>
          </w:p>
        </w:tc>
        <w:tc>
          <w:tcPr>
            <w:tcW w:type="dxa" w:w="3009"/>
          </w:tcPr>
          <w:p>
            <w:r/>
            <w:r>
              <w:rPr>
                <w:rFonts w:ascii="Times New Roman" w:hAnsi="Times New Roman"/>
                <w:b w:val="0"/>
                <w:i w:val="0"/>
                <w:sz w:val="18"/>
              </w:rPr>
              <w:t>61.1</w:t>
            </w:r>
          </w:p>
        </w:tc>
      </w:tr>
    </w:tbl>
    <w:p/>
    <w:p>
      <w:pPr>
        <w:spacing w:before="240" w:after="100" w:line="240" w:lineRule="auto"/>
      </w:pPr>
      <w:r>
        <w:rPr>
          <w:rFonts w:ascii="Times New Roman" w:hAnsi="Times New Roman"/>
          <w:b/>
          <w:i w:val="0"/>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Declara (n)</w:t>
            </w:r>
          </w:p>
        </w:tc>
        <w:tc>
          <w:tcPr>
            <w:tcW w:type="dxa" w:w="1805"/>
          </w:tcPr>
          <w:p>
            <w:r/>
            <w:r>
              <w:rPr>
                <w:rFonts w:ascii="Times New Roman" w:hAnsi="Times New Roman"/>
                <w:b/>
                <w:i w:val="0"/>
                <w:sz w:val="18"/>
              </w:rPr>
              <w:t>Declara (%)</w:t>
            </w:r>
          </w:p>
        </w:tc>
        <w:tc>
          <w:tcPr>
            <w:tcW w:type="dxa" w:w="1805"/>
          </w:tcPr>
          <w:p>
            <w:r/>
            <w:r>
              <w:rPr>
                <w:rFonts w:ascii="Times New Roman" w:hAnsi="Times New Roman"/>
                <w:b/>
                <w:i w:val="0"/>
                <w:sz w:val="18"/>
              </w:rPr>
              <w:t>No declara (n)</w:t>
            </w:r>
          </w:p>
        </w:tc>
        <w:tc>
          <w:tcPr>
            <w:tcW w:type="dxa" w:w="1805"/>
          </w:tcPr>
          <w:p>
            <w:r/>
            <w:r>
              <w:rPr>
                <w:rFonts w:ascii="Times New Roman" w:hAnsi="Times New Roman"/>
                <w:b/>
                <w:i w:val="0"/>
                <w:sz w:val="18"/>
              </w:rPr>
              <w:t>No declara (%)</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36</w:t>
            </w:r>
          </w:p>
        </w:tc>
        <w:tc>
          <w:tcPr>
            <w:tcW w:type="dxa" w:w="1805"/>
          </w:tcPr>
          <w:p>
            <w:r/>
            <w:r>
              <w:rPr>
                <w:rFonts w:ascii="Times New Roman" w:hAnsi="Times New Roman"/>
                <w:b w:val="0"/>
                <w:i w:val="0"/>
                <w:sz w:val="18"/>
              </w:rPr>
              <w:t>37.9</w:t>
            </w:r>
          </w:p>
        </w:tc>
        <w:tc>
          <w:tcPr>
            <w:tcW w:type="dxa" w:w="1805"/>
          </w:tcPr>
          <w:p>
            <w:r/>
            <w:r>
              <w:rPr>
                <w:rFonts w:ascii="Times New Roman" w:hAnsi="Times New Roman"/>
                <w:b w:val="0"/>
                <w:i w:val="0"/>
                <w:sz w:val="18"/>
              </w:rPr>
              <w:t>59</w:t>
            </w:r>
          </w:p>
        </w:tc>
        <w:tc>
          <w:tcPr>
            <w:tcW w:type="dxa" w:w="1805"/>
          </w:tcPr>
          <w:p>
            <w:r/>
            <w:r>
              <w:rPr>
                <w:rFonts w:ascii="Times New Roman" w:hAnsi="Times New Roman"/>
                <w:b w:val="0"/>
                <w:i w:val="0"/>
                <w:sz w:val="18"/>
              </w:rPr>
              <w:t>62.1</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58</w:t>
            </w:r>
          </w:p>
        </w:tc>
        <w:tc>
          <w:tcPr>
            <w:tcW w:type="dxa" w:w="1805"/>
          </w:tcPr>
          <w:p>
            <w:r/>
            <w:r>
              <w:rPr>
                <w:rFonts w:ascii="Times New Roman" w:hAnsi="Times New Roman"/>
                <w:b w:val="0"/>
                <w:i w:val="0"/>
                <w:sz w:val="18"/>
              </w:rPr>
              <w:t>61.1</w:t>
            </w:r>
          </w:p>
        </w:tc>
        <w:tc>
          <w:tcPr>
            <w:tcW w:type="dxa" w:w="1805"/>
          </w:tcPr>
          <w:p>
            <w:r/>
            <w:r>
              <w:rPr>
                <w:rFonts w:ascii="Times New Roman" w:hAnsi="Times New Roman"/>
                <w:b w:val="0"/>
                <w:i w:val="0"/>
                <w:sz w:val="18"/>
              </w:rPr>
              <w:t>37</w:t>
            </w:r>
          </w:p>
        </w:tc>
        <w:tc>
          <w:tcPr>
            <w:tcW w:type="dxa" w:w="1805"/>
          </w:tcPr>
          <w:p>
            <w:r/>
            <w:r>
              <w:rPr>
                <w:rFonts w:ascii="Times New Roman" w:hAnsi="Times New Roman"/>
                <w:b w:val="0"/>
                <w:i w:val="0"/>
                <w:sz w:val="18"/>
              </w:rPr>
              <w:t>38.9</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45</w:t>
            </w:r>
          </w:p>
        </w:tc>
        <w:tc>
          <w:tcPr>
            <w:tcW w:type="dxa" w:w="1805"/>
          </w:tcPr>
          <w:p>
            <w:r/>
            <w:r>
              <w:rPr>
                <w:rFonts w:ascii="Times New Roman" w:hAnsi="Times New Roman"/>
                <w:b w:val="0"/>
                <w:i w:val="0"/>
                <w:sz w:val="18"/>
              </w:rPr>
              <w:t>47.4</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52.6</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36.8</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63.2</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2.1</w:t>
            </w:r>
          </w:p>
        </w:tc>
        <w:tc>
          <w:tcPr>
            <w:tcW w:type="dxa" w:w="1805"/>
          </w:tcPr>
          <w:p>
            <w:r/>
            <w:r>
              <w:rPr>
                <w:rFonts w:ascii="Times New Roman" w:hAnsi="Times New Roman"/>
                <w:b w:val="0"/>
                <w:i w:val="0"/>
                <w:sz w:val="18"/>
              </w:rPr>
              <w:t>93</w:t>
            </w:r>
          </w:p>
        </w:tc>
        <w:tc>
          <w:tcPr>
            <w:tcW w:type="dxa" w:w="1805"/>
          </w:tcPr>
          <w:p>
            <w:r/>
            <w:r>
              <w:rPr>
                <w:rFonts w:ascii="Times New Roman" w:hAnsi="Times New Roman"/>
                <w:b w:val="0"/>
                <w:i w:val="0"/>
                <w:sz w:val="18"/>
              </w:rPr>
              <w:t>97.9</w:t>
            </w:r>
          </w:p>
        </w:tc>
      </w:tr>
    </w:tbl>
    <w:p/>
    <w:p>
      <w:pPr>
        <w:spacing w:before="240" w:after="100" w:line="240" w:lineRule="auto"/>
      </w:pPr>
      <w:r>
        <w:rPr>
          <w:rFonts w:ascii="Times New Roman" w:hAnsi="Times New Roman"/>
          <w:b/>
          <w:i w:val="0"/>
          <w:sz w:val="18"/>
        </w:rPr>
        <w:t>Tabla 3.</w:t>
      </w:r>
      <w:r>
        <w:rPr>
          <w:rFonts w:ascii="Times New Roman" w:hAnsi="Times New Roman"/>
          <w:b w:val="0"/>
          <w:i w:val="0"/>
          <w:sz w:val="18"/>
        </w:rPr>
        <w:t xml:space="preserve"> Comparación entre los estudios con y sin texto completo obtenido.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Con texto completo</w:t>
            </w:r>
          </w:p>
        </w:tc>
        <w:tc>
          <w:tcPr>
            <w:tcW w:type="dxa" w:w="3009"/>
          </w:tcPr>
          <w:p>
            <w:r/>
            <w:r>
              <w:rPr>
                <w:rFonts w:ascii="Times New Roman" w:hAnsi="Times New Roman"/>
                <w:b/>
                <w:i w:val="0"/>
                <w:sz w:val="18"/>
              </w:rPr>
              <w:t>Sin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71</w:t>
            </w:r>
          </w:p>
        </w:tc>
        <w:tc>
          <w:tcPr>
            <w:tcW w:type="dxa" w:w="3009"/>
          </w:tcPr>
          <w:p>
            <w:r/>
            <w:r>
              <w:rPr>
                <w:rFonts w:ascii="Times New Roman" w:hAnsi="Times New Roman"/>
                <w:b w:val="0"/>
                <w:i w:val="0"/>
                <w:sz w:val="18"/>
              </w:rPr>
              <w:t>24</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5</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7.0</w:t>
            </w:r>
          </w:p>
        </w:tc>
        <w:tc>
          <w:tcPr>
            <w:tcW w:type="dxa" w:w="3009"/>
          </w:tcPr>
          <w:p>
            <w:r/>
            <w:r>
              <w:rPr>
                <w:rFonts w:ascii="Times New Roman" w:hAnsi="Times New Roman"/>
                <w:b w:val="0"/>
                <w:i w:val="0"/>
                <w:sz w:val="18"/>
              </w:rPr>
              <w:t>25.0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36</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666</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i w:val="0"/>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Revision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Sintesis secundaria (revision sistematica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preclinico o de modelizacion;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infeccion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evalua fagoterapia en pacientes (encuesta, epidemiologia,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r>
              <w:rPr>
                <w:rFonts w:ascii="Times New Roman" w:hAnsi="Times New Roman"/>
                <w:b w:val="0"/>
                <w:i w:val="0"/>
                <w:sz w:val="18"/>
              </w:rPr>
              <w:t>PRO</w:t>
            </w:r>
          </w:p>
        </w:tc>
        <w:tc>
          <w:tcPr>
            <w:tcW w:type="dxa" w:w="1805"/>
          </w:tcPr>
          <w:p>
            <w:r/>
            <w:r>
              <w:rPr>
                <w:rFonts w:ascii="Times New Roman" w:hAnsi="Times New Roman"/>
                <w:b w:val="0"/>
                <w:i w:val="0"/>
                <w:sz w:val="18"/>
              </w:rPr>
              <w:t>Protocolo de estudio: declara lo que se hara, sin resultados</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INT</w:t>
            </w:r>
          </w:p>
        </w:tc>
        <w:tc>
          <w:tcPr>
            <w:tcW w:type="dxa" w:w="1805"/>
          </w:tcPr>
          <w:p>
            <w:r/>
            <w:r>
              <w:rPr>
                <w:rFonts w:ascii="Times New Roman" w:hAnsi="Times New Roman"/>
                <w:b w:val="0"/>
                <w:i w:val="0"/>
                <w:sz w:val="18"/>
              </w:rPr>
              <w:t>La intervencion no es un bacteriofago (endolisina u otro derivado)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NOREC</w:t>
            </w:r>
          </w:p>
        </w:tc>
        <w:tc>
          <w:tcPr>
            <w:tcW w:type="dxa" w:w="1805"/>
          </w:tcPr>
          <w:p>
            <w:r/>
            <w:r>
              <w:rPr>
                <w:rFonts w:ascii="Times New Roman" w:hAnsi="Times New Roman"/>
                <w:b w:val="0"/>
                <w:i w:val="0"/>
                <w:sz w:val="18"/>
              </w:rPr>
              <w:t>Texto completo no recuperado: no se pudo verificar contra el articulo</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0</w:t>
            </w:r>
          </w:p>
        </w:tc>
      </w:tr>
      <w:tr>
        <w:tc>
          <w:tcPr>
            <w:tcW w:type="dxa" w:w="1805"/>
          </w:tcPr>
          <w:p>
            <w:r/>
          </w:p>
        </w:tc>
        <w:tc>
          <w:tcPr>
            <w:tcW w:type="dxa" w:w="1805"/>
          </w:tcPr>
          <w:p>
            <w:r/>
            <w:r>
              <w:rPr>
                <w:rFonts w:ascii="Times New Roman" w:hAnsi="Times New Roman"/>
                <w:b/>
                <w:i w:val="0"/>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i w:val="0"/>
          <w:sz w:val="18"/>
        </w:rPr>
        <w:t>Tabla 5.</w:t>
      </w:r>
      <w:r>
        <w:rPr>
          <w:rFonts w:ascii="Times New Roman" w:hAnsi="Times New Roman"/>
          <w:b w:val="0"/>
          <w:i w:val="0"/>
          <w:sz w:val="18"/>
        </w:rPr>
        <w:t xml:space="preserve"> Completitud de reporte de los cinco desenlaces declarados, sobre la extracción adjudicada (n = 103 brazos).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Desenlace</w:t>
            </w:r>
          </w:p>
        </w:tc>
        <w:tc>
          <w:tcPr>
            <w:tcW w:type="dxa" w:w="1805"/>
          </w:tcPr>
          <w:p>
            <w:r/>
            <w:r>
              <w:rPr>
                <w:rFonts w:ascii="Times New Roman" w:hAnsi="Times New Roman"/>
                <w:b/>
                <w:i w:val="0"/>
                <w:sz w:val="18"/>
              </w:rPr>
              <w:t>Con numerador y denominador</w:t>
            </w:r>
          </w:p>
        </w:tc>
        <w:tc>
          <w:tcPr>
            <w:tcW w:type="dxa" w:w="1805"/>
          </w:tcPr>
          <w:p>
            <w:r/>
            <w:r>
              <w:rPr>
                <w:rFonts w:ascii="Times New Roman" w:hAnsi="Times New Roman"/>
                <w:b/>
                <w:i w:val="0"/>
                <w:sz w:val="18"/>
              </w:rPr>
              <w:t>% de los 103 brazos</w:t>
            </w:r>
          </w:p>
        </w:tc>
        <w:tc>
          <w:tcPr>
            <w:tcW w:type="dxa" w:w="1805"/>
          </w:tcPr>
          <w:p>
            <w:r/>
            <w:r>
              <w:rPr>
                <w:rFonts w:ascii="Times New Roman" w:hAnsi="Times New Roman"/>
                <w:b/>
                <w:i w:val="0"/>
                <w:sz w:val="18"/>
              </w:rPr>
              <w:t>% de los 79 con texto completo</w:t>
            </w:r>
          </w:p>
        </w:tc>
        <w:tc>
          <w:tcPr>
            <w:tcW w:type="dxa" w:w="1805"/>
          </w:tcPr>
          <w:p>
            <w:r/>
            <w:r>
              <w:rPr>
                <w:rFonts w:ascii="Times New Roman" w:hAnsi="Times New Roman"/>
                <w:b/>
                <w:i w:val="0"/>
                <w:sz w:val="18"/>
              </w:rPr>
              <w:t>% con doble lectura</w:t>
            </w:r>
          </w:p>
        </w:tc>
      </w:tr>
      <w:tr>
        <w:tc>
          <w:tcPr>
            <w:tcW w:type="dxa" w:w="1805"/>
          </w:tcPr>
          <w:p>
            <w:r/>
            <w:r>
              <w:rPr>
                <w:rFonts w:ascii="Times New Roman" w:hAnsi="Times New Roman"/>
                <w:b w:val="0"/>
                <w:i w:val="0"/>
                <w:sz w:val="18"/>
              </w:rPr>
              <w:t>Éxito clínico</w:t>
            </w:r>
          </w:p>
        </w:tc>
        <w:tc>
          <w:tcPr>
            <w:tcW w:type="dxa" w:w="1805"/>
          </w:tcPr>
          <w:p>
            <w:r/>
            <w:r>
              <w:rPr>
                <w:rFonts w:ascii="Times New Roman" w:hAnsi="Times New Roman"/>
                <w:b w:val="0"/>
                <w:i w:val="0"/>
                <w:sz w:val="18"/>
              </w:rPr>
              <w:t>71</w:t>
            </w:r>
          </w:p>
        </w:tc>
        <w:tc>
          <w:tcPr>
            <w:tcW w:type="dxa" w:w="1805"/>
          </w:tcPr>
          <w:p>
            <w:r/>
            <w:r>
              <w:rPr>
                <w:rFonts w:ascii="Times New Roman" w:hAnsi="Times New Roman"/>
                <w:b w:val="0"/>
                <w:i w:val="0"/>
                <w:sz w:val="18"/>
              </w:rPr>
              <w:t>68.9</w:t>
            </w:r>
          </w:p>
        </w:tc>
        <w:tc>
          <w:tcPr>
            <w:tcW w:type="dxa" w:w="1805"/>
          </w:tcPr>
          <w:p>
            <w:r/>
            <w:r>
              <w:rPr>
                <w:rFonts w:ascii="Times New Roman" w:hAnsi="Times New Roman"/>
                <w:b w:val="0"/>
                <w:i w:val="0"/>
                <w:sz w:val="18"/>
              </w:rPr>
              <w:t>87.3</w:t>
            </w:r>
          </w:p>
        </w:tc>
        <w:tc>
          <w:tcPr>
            <w:tcW w:type="dxa" w:w="1805"/>
          </w:tcPr>
          <w:p>
            <w:r/>
            <w:r>
              <w:rPr>
                <w:rFonts w:ascii="Times New Roman" w:hAnsi="Times New Roman"/>
                <w:b w:val="0"/>
                <w:i w:val="0"/>
                <w:sz w:val="18"/>
              </w:rPr>
              <w:t>97.2</w:t>
            </w:r>
          </w:p>
        </w:tc>
      </w:tr>
      <w:tr>
        <w:tc>
          <w:tcPr>
            <w:tcW w:type="dxa" w:w="1805"/>
          </w:tcPr>
          <w:p>
            <w:r/>
            <w:r>
              <w:rPr>
                <w:rFonts w:ascii="Times New Roman" w:hAnsi="Times New Roman"/>
                <w:b w:val="0"/>
                <w:i w:val="0"/>
                <w:sz w:val="18"/>
              </w:rPr>
              <w:t>Erradicación microbiológica</w:t>
            </w:r>
          </w:p>
        </w:tc>
        <w:tc>
          <w:tcPr>
            <w:tcW w:type="dxa" w:w="1805"/>
          </w:tcPr>
          <w:p>
            <w:r/>
            <w:r>
              <w:rPr>
                <w:rFonts w:ascii="Times New Roman" w:hAnsi="Times New Roman"/>
                <w:b w:val="0"/>
                <w:i w:val="0"/>
                <w:sz w:val="18"/>
              </w:rPr>
              <w:t>56</w:t>
            </w:r>
          </w:p>
        </w:tc>
        <w:tc>
          <w:tcPr>
            <w:tcW w:type="dxa" w:w="1805"/>
          </w:tcPr>
          <w:p>
            <w:r/>
            <w:r>
              <w:rPr>
                <w:rFonts w:ascii="Times New Roman" w:hAnsi="Times New Roman"/>
                <w:b w:val="0"/>
                <w:i w:val="0"/>
                <w:sz w:val="18"/>
              </w:rPr>
              <w:t>54.4</w:t>
            </w:r>
          </w:p>
        </w:tc>
        <w:tc>
          <w:tcPr>
            <w:tcW w:type="dxa" w:w="1805"/>
          </w:tcPr>
          <w:p>
            <w:r/>
            <w:r>
              <w:rPr>
                <w:rFonts w:ascii="Times New Roman" w:hAnsi="Times New Roman"/>
                <w:b w:val="0"/>
                <w:i w:val="0"/>
                <w:sz w:val="18"/>
              </w:rPr>
              <w:t>69.6</w:t>
            </w:r>
          </w:p>
        </w:tc>
        <w:tc>
          <w:tcPr>
            <w:tcW w:type="dxa" w:w="1805"/>
          </w:tcPr>
          <w:p>
            <w:r/>
            <w:r>
              <w:rPr>
                <w:rFonts w:ascii="Times New Roman" w:hAnsi="Times New Roman"/>
                <w:b w:val="0"/>
                <w:i w:val="0"/>
                <w:sz w:val="18"/>
              </w:rPr>
              <w:t>98.2</w:t>
            </w:r>
          </w:p>
        </w:tc>
      </w:tr>
      <w:tr>
        <w:tc>
          <w:tcPr>
            <w:tcW w:type="dxa" w:w="1805"/>
          </w:tcPr>
          <w:p>
            <w:r/>
            <w:r>
              <w:rPr>
                <w:rFonts w:ascii="Times New Roman" w:hAnsi="Times New Roman"/>
                <w:b w:val="0"/>
                <w:i w:val="0"/>
                <w:sz w:val="18"/>
              </w:rPr>
              <w:t>Mortalidad</w:t>
            </w:r>
          </w:p>
        </w:tc>
        <w:tc>
          <w:tcPr>
            <w:tcW w:type="dxa" w:w="1805"/>
          </w:tcPr>
          <w:p>
            <w:r/>
            <w:r>
              <w:rPr>
                <w:rFonts w:ascii="Times New Roman" w:hAnsi="Times New Roman"/>
                <w:b w:val="0"/>
                <w:i w:val="0"/>
                <w:sz w:val="18"/>
              </w:rPr>
              <w:t>75</w:t>
            </w:r>
          </w:p>
        </w:tc>
        <w:tc>
          <w:tcPr>
            <w:tcW w:type="dxa" w:w="1805"/>
          </w:tcPr>
          <w:p>
            <w:r/>
            <w:r>
              <w:rPr>
                <w:rFonts w:ascii="Times New Roman" w:hAnsi="Times New Roman"/>
                <w:b w:val="0"/>
                <w:i w:val="0"/>
                <w:sz w:val="18"/>
              </w:rPr>
              <w:t>72.8</w:t>
            </w:r>
          </w:p>
        </w:tc>
        <w:tc>
          <w:tcPr>
            <w:tcW w:type="dxa" w:w="1805"/>
          </w:tcPr>
          <w:p>
            <w:r/>
            <w:r>
              <w:rPr>
                <w:rFonts w:ascii="Times New Roman" w:hAnsi="Times New Roman"/>
                <w:b w:val="0"/>
                <w:i w:val="0"/>
                <w:sz w:val="18"/>
              </w:rPr>
              <w:t>89.9</w:t>
            </w:r>
          </w:p>
        </w:tc>
        <w:tc>
          <w:tcPr>
            <w:tcW w:type="dxa" w:w="1805"/>
          </w:tcPr>
          <w:p>
            <w:r/>
            <w:r>
              <w:rPr>
                <w:rFonts w:ascii="Times New Roman" w:hAnsi="Times New Roman"/>
                <w:b w:val="0"/>
                <w:i w:val="0"/>
                <w:sz w:val="18"/>
              </w:rPr>
              <w:t>97.3</w:t>
            </w:r>
          </w:p>
        </w:tc>
      </w:tr>
      <w:tr>
        <w:tc>
          <w:tcPr>
            <w:tcW w:type="dxa" w:w="1805"/>
          </w:tcPr>
          <w:p>
            <w:r/>
            <w:r>
              <w:rPr>
                <w:rFonts w:ascii="Times New Roman" w:hAnsi="Times New Roman"/>
                <w:b w:val="0"/>
                <w:i w:val="0"/>
                <w:sz w:val="18"/>
              </w:rPr>
              <w:t>Eventos adversos</w:t>
            </w:r>
          </w:p>
        </w:tc>
        <w:tc>
          <w:tcPr>
            <w:tcW w:type="dxa" w:w="1805"/>
          </w:tcPr>
          <w:p>
            <w:r/>
            <w:r>
              <w:rPr>
                <w:rFonts w:ascii="Times New Roman" w:hAnsi="Times New Roman"/>
                <w:b w:val="0"/>
                <w:i w:val="0"/>
                <w:sz w:val="18"/>
              </w:rPr>
              <w:t>80</w:t>
            </w:r>
          </w:p>
        </w:tc>
        <w:tc>
          <w:tcPr>
            <w:tcW w:type="dxa" w:w="1805"/>
          </w:tcPr>
          <w:p>
            <w:r/>
            <w:r>
              <w:rPr>
                <w:rFonts w:ascii="Times New Roman" w:hAnsi="Times New Roman"/>
                <w:b w:val="0"/>
                <w:i w:val="0"/>
                <w:sz w:val="18"/>
              </w:rPr>
              <w:t>77.7</w:t>
            </w:r>
          </w:p>
        </w:tc>
        <w:tc>
          <w:tcPr>
            <w:tcW w:type="dxa" w:w="1805"/>
          </w:tcPr>
          <w:p>
            <w:r/>
            <w:r>
              <w:rPr>
                <w:rFonts w:ascii="Times New Roman" w:hAnsi="Times New Roman"/>
                <w:b w:val="0"/>
                <w:i w:val="0"/>
                <w:sz w:val="18"/>
              </w:rPr>
              <w:t>88.6</w:t>
            </w:r>
          </w:p>
        </w:tc>
        <w:tc>
          <w:tcPr>
            <w:tcW w:type="dxa" w:w="1805"/>
          </w:tcPr>
          <w:p>
            <w:r/>
            <w:r>
              <w:rPr>
                <w:rFonts w:ascii="Times New Roman" w:hAnsi="Times New Roman"/>
                <w:b w:val="0"/>
                <w:i w:val="0"/>
                <w:sz w:val="18"/>
              </w:rPr>
              <w:t>98.8</w:t>
            </w:r>
          </w:p>
        </w:tc>
      </w:tr>
      <w:tr>
        <w:tc>
          <w:tcPr>
            <w:tcW w:type="dxa" w:w="1805"/>
          </w:tcPr>
          <w:p>
            <w:r/>
            <w:r>
              <w:rPr>
                <w:rFonts w:ascii="Times New Roman" w:hAnsi="Times New Roman"/>
                <w:b w:val="0"/>
                <w:i w:val="0"/>
                <w:sz w:val="18"/>
              </w:rPr>
              <w:t>Emergencia de resistencia al fago</w:t>
            </w:r>
          </w:p>
        </w:tc>
        <w:tc>
          <w:tcPr>
            <w:tcW w:type="dxa" w:w="1805"/>
          </w:tcPr>
          <w:p>
            <w:r/>
            <w:r>
              <w:rPr>
                <w:rFonts w:ascii="Times New Roman" w:hAnsi="Times New Roman"/>
                <w:b w:val="0"/>
                <w:i w:val="0"/>
                <w:sz w:val="18"/>
              </w:rPr>
              <w:t>28</w:t>
            </w:r>
          </w:p>
        </w:tc>
        <w:tc>
          <w:tcPr>
            <w:tcW w:type="dxa" w:w="1805"/>
          </w:tcPr>
          <w:p>
            <w:r/>
            <w:r>
              <w:rPr>
                <w:rFonts w:ascii="Times New Roman" w:hAnsi="Times New Roman"/>
                <w:b w:val="0"/>
                <w:i w:val="0"/>
                <w:sz w:val="18"/>
              </w:rPr>
              <w:t>27.2</w:t>
            </w:r>
          </w:p>
        </w:tc>
        <w:tc>
          <w:tcPr>
            <w:tcW w:type="dxa" w:w="1805"/>
          </w:tcPr>
          <w:p>
            <w:r/>
            <w:r>
              <w:rPr>
                <w:rFonts w:ascii="Times New Roman" w:hAnsi="Times New Roman"/>
                <w:b w:val="0"/>
                <w:i w:val="0"/>
                <w:sz w:val="18"/>
              </w:rPr>
              <w:t>35.4</w:t>
            </w:r>
          </w:p>
        </w:tc>
        <w:tc>
          <w:tcPr>
            <w:tcW w:type="dxa" w:w="1805"/>
          </w:tcPr>
          <w:p>
            <w:r/>
            <w:r>
              <w:rPr>
                <w:rFonts w:ascii="Times New Roman" w:hAnsi="Times New Roman"/>
                <w:b w:val="0"/>
                <w:i w:val="0"/>
                <w:sz w:val="18"/>
              </w:rPr>
              <w:t>57.1</w:t>
            </w:r>
          </w:p>
        </w:tc>
      </w:tr>
    </w:tbl>
    <w:p/>
    <w:p>
      <w:pPr>
        <w:spacing w:before="240" w:after="100" w:line="240" w:lineRule="auto"/>
      </w:pPr>
      <w:r>
        <w:rPr>
          <w:rFonts w:ascii="Times New Roman" w:hAnsi="Times New Roman"/>
          <w:b/>
          <w:i w:val="0"/>
          <w:sz w:val="18"/>
        </w:rPr>
        <w:t>Tabla 6.</w:t>
      </w:r>
      <w:r>
        <w:rPr>
          <w:rFonts w:ascii="Times New Roman" w:hAnsi="Times New Roman"/>
          <w:b w:val="0"/>
          <w:i w:val="0"/>
          <w:sz w:val="18"/>
        </w:rPr>
        <w:t xml:space="preserve"> Brazos que sobreviven a cada requisito de una proporción agrupada de éxito clínico (n = 103 brazos).</w:t>
      </w:r>
    </w:p>
    <w:tbl>
      <w:tblPr>
        <w:tblStyle w:val="TableGrid"/>
        <w:tblW w:type="auto" w:w="0"/>
        <w:jc w:val="center"/>
        <w:tblLook w:firstColumn="1" w:firstRow="1" w:lastColumn="0" w:lastRow="0" w:noHBand="0" w:noVBand="1" w:val="04A0"/>
      </w:tblPr>
      <w:tblGrid>
        <w:gridCol w:w="4513"/>
        <w:gridCol w:w="4513"/>
      </w:tblGrid>
      <w:tr>
        <w:tc>
          <w:tcPr>
            <w:tcW w:type="dxa" w:w="4513"/>
          </w:tcPr>
          <w:p>
            <w:r/>
            <w:r>
              <w:rPr>
                <w:rFonts w:ascii="Times New Roman" w:hAnsi="Times New Roman"/>
                <w:b/>
                <w:i w:val="0"/>
                <w:sz w:val="18"/>
              </w:rPr>
              <w:t>Requisito acumulado</w:t>
            </w:r>
          </w:p>
        </w:tc>
        <w:tc>
          <w:tcPr>
            <w:tcW w:type="dxa" w:w="4513"/>
          </w:tcPr>
          <w:p>
            <w:r/>
            <w:r>
              <w:rPr>
                <w:rFonts w:ascii="Times New Roman" w:hAnsi="Times New Roman"/>
                <w:b/>
                <w:i w:val="0"/>
                <w:sz w:val="18"/>
              </w:rPr>
              <w:t>Brazos que quedan</w:t>
            </w:r>
          </w:p>
        </w:tc>
      </w:tr>
      <w:tr>
        <w:tc>
          <w:tcPr>
            <w:tcW w:type="dxa" w:w="4513"/>
          </w:tcPr>
          <w:p>
            <w:r/>
            <w:r>
              <w:rPr>
                <w:rFonts w:ascii="Times New Roman" w:hAnsi="Times New Roman"/>
                <w:b w:val="0"/>
                <w:i w:val="0"/>
                <w:sz w:val="18"/>
              </w:rPr>
              <w:t>Brazos extraídos</w:t>
            </w:r>
          </w:p>
        </w:tc>
        <w:tc>
          <w:tcPr>
            <w:tcW w:type="dxa" w:w="4513"/>
          </w:tcPr>
          <w:p>
            <w:r/>
            <w:r>
              <w:rPr>
                <w:rFonts w:ascii="Times New Roman" w:hAnsi="Times New Roman"/>
                <w:b w:val="0"/>
                <w:i w:val="0"/>
                <w:sz w:val="18"/>
              </w:rPr>
              <w:t>103</w:t>
            </w:r>
          </w:p>
        </w:tc>
      </w:tr>
      <w:tr>
        <w:tc>
          <w:tcPr>
            <w:tcW w:type="dxa" w:w="4513"/>
          </w:tcPr>
          <w:p>
            <w:r/>
            <w:r>
              <w:rPr>
                <w:rFonts w:ascii="Times New Roman" w:hAnsi="Times New Roman"/>
                <w:b w:val="0"/>
                <w:i w:val="0"/>
                <w:sz w:val="18"/>
              </w:rPr>
              <w:t>Diseño comparativo</w:t>
            </w:r>
          </w:p>
        </w:tc>
        <w:tc>
          <w:tcPr>
            <w:tcW w:type="dxa" w:w="4513"/>
          </w:tcPr>
          <w:p>
            <w:r/>
            <w:r>
              <w:rPr>
                <w:rFonts w:ascii="Times New Roman" w:hAnsi="Times New Roman"/>
                <w:b w:val="0"/>
                <w:i w:val="0"/>
                <w:sz w:val="18"/>
              </w:rPr>
              <w:t>16</w:t>
            </w:r>
          </w:p>
        </w:tc>
      </w:tr>
      <w:tr>
        <w:tc>
          <w:tcPr>
            <w:tcW w:type="dxa" w:w="4513"/>
          </w:tcPr>
          <w:p>
            <w:r/>
            <w:r>
              <w:rPr>
                <w:rFonts w:ascii="Times New Roman" w:hAnsi="Times New Roman"/>
                <w:b w:val="0"/>
                <w:i w:val="0"/>
                <w:sz w:val="18"/>
              </w:rPr>
              <w:t>Numerador y denominador coherentes</w:t>
            </w:r>
          </w:p>
        </w:tc>
        <w:tc>
          <w:tcPr>
            <w:tcW w:type="dxa" w:w="4513"/>
          </w:tcPr>
          <w:p>
            <w:r/>
            <w:r>
              <w:rPr>
                <w:rFonts w:ascii="Times New Roman" w:hAnsi="Times New Roman"/>
                <w:b w:val="0"/>
                <w:i w:val="0"/>
                <w:sz w:val="18"/>
              </w:rPr>
              <w:t>5</w:t>
            </w:r>
          </w:p>
        </w:tc>
      </w:tr>
      <w:tr>
        <w:tc>
          <w:tcPr>
            <w:tcW w:type="dxa" w:w="4513"/>
          </w:tcPr>
          <w:p>
            <w:r/>
            <w:r>
              <w:rPr>
                <w:rFonts w:ascii="Times New Roman" w:hAnsi="Times New Roman"/>
                <w:b w:val="0"/>
                <w:i w:val="0"/>
                <w:sz w:val="18"/>
              </w:rPr>
              <w:t>Definición operativa del éxito</w:t>
            </w:r>
          </w:p>
        </w:tc>
        <w:tc>
          <w:tcPr>
            <w:tcW w:type="dxa" w:w="4513"/>
          </w:tcPr>
          <w:p>
            <w:r/>
            <w:r>
              <w:rPr>
                <w:rFonts w:ascii="Times New Roman" w:hAnsi="Times New Roman"/>
                <w:b w:val="0"/>
                <w:i w:val="0"/>
                <w:sz w:val="18"/>
              </w:rPr>
              <w:t>2</w:t>
            </w:r>
          </w:p>
        </w:tc>
      </w:tr>
      <w:tr>
        <w:tc>
          <w:tcPr>
            <w:tcW w:type="dxa" w:w="4513"/>
          </w:tcPr>
          <w:p>
            <w:r/>
            <w:r>
              <w:rPr>
                <w:rFonts w:ascii="Times New Roman" w:hAnsi="Times New Roman"/>
                <w:b w:val="0"/>
                <w:i w:val="0"/>
                <w:sz w:val="18"/>
              </w:rPr>
              <w:t>Desenlace atribuible a P. aeruginosa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Administración terapéutica, no profiláctica</w:t>
            </w:r>
          </w:p>
        </w:tc>
        <w:tc>
          <w:tcPr>
            <w:tcW w:type="dxa" w:w="4513"/>
          </w:tcPr>
          <w:p>
            <w:r/>
            <w:r>
              <w:rPr>
                <w:rFonts w:ascii="Times New Roman" w:hAnsi="Times New Roman"/>
                <w:b w:val="0"/>
                <w:i w:val="0"/>
                <w:sz w:val="18"/>
              </w:rPr>
              <w:t>1</w:t>
            </w:r>
          </w:p>
        </w:tc>
      </w:tr>
      <w:tr>
        <w:tc>
          <w:tcPr>
            <w:tcW w:type="dxa" w:w="4513"/>
          </w:tcPr>
          <w:p>
            <w:r/>
            <w:r>
              <w:rPr>
                <w:rFonts w:ascii="Times New Roman" w:hAnsi="Times New Roman"/>
                <w:b w:val="0"/>
                <w:i w:val="0"/>
                <w:sz w:val="18"/>
              </w:rPr>
              <w:t>Reporta una proporción, no un tiempo</w:t>
            </w:r>
          </w:p>
        </w:tc>
        <w:tc>
          <w:tcPr>
            <w:tcW w:type="dxa" w:w="4513"/>
          </w:tcPr>
          <w:p>
            <w:r/>
            <w:r>
              <w:rPr>
                <w:rFonts w:ascii="Times New Roman" w:hAnsi="Times New Roman"/>
                <w:b w:val="0"/>
                <w:i w:val="0"/>
                <w:sz w:val="18"/>
              </w:rPr>
              <w:t>0</w:t>
            </w:r>
          </w:p>
        </w:tc>
      </w:tr>
    </w:tbl>
    <w:p/>
    <w:p>
      <w:pPr>
        <w:spacing w:before="240" w:after="100" w:line="240" w:lineRule="auto"/>
      </w:pPr>
      <w:r>
        <w:rPr>
          <w:rFonts w:ascii="Times New Roman" w:hAnsi="Times New Roman"/>
          <w:b/>
          <w:i w:val="0"/>
          <w:sz w:val="18"/>
        </w:rPr>
        <w:t>Figura 1. Diagrama de flujo PRISMA 2020.</w:t>
      </w:r>
    </w:p>
    <w:p>
      <w:pPr>
        <w:jc w:val="center"/>
      </w:pPr>
      <w:r>
        <w:drawing>
          <wp:inline xmlns:a="http://schemas.openxmlformats.org/drawingml/2006/main" xmlns:pic="http://schemas.openxmlformats.org/drawingml/2006/picture">
            <wp:extent cx="5120640" cy="5548501"/>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5548501"/>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rFonts w:ascii="Times New Roman" w:hAnsi="Times New Roman"/>
          <w:b w:val="0"/>
          <w:i/>
          <w:sz w:val="22"/>
        </w:rPr>
        <w:t>Fuente.</w:t>
      </w:r>
      <w:r>
        <w:rPr>
          <w:rFonts w:ascii="Times New Roman" w:hAnsi="Times New Roman"/>
          <w:b w:val="0"/>
          <w:i w:val="0"/>
          <w:sz w:val="22"/>
        </w:rPr>
        <w:t xml:space="preserve"> Canal de cribado del proyecto; última ejecución de la búsqueda, 10 de agosto de 2026.</w:t>
      </w:r>
    </w:p>
    <w:p>
      <w:pPr>
        <w:spacing w:before="240" w:after="100" w:line="240" w:lineRule="auto"/>
      </w:pPr>
      <w:r>
        <w:rPr>
          <w:rFonts w:ascii="Times New Roman" w:hAnsi="Times New Roman"/>
          <w:b/>
          <w:i w:val="0"/>
          <w:sz w:val="18"/>
        </w:rPr>
        <w:t>Figura 2. Composición del cuerpo de evidencia recuperable (n = 95 estudios).</w:t>
      </w:r>
    </w:p>
    <w:p>
      <w:pPr>
        <w:jc w:val="center"/>
      </w:pPr>
      <w:r>
        <w:drawing>
          <wp:inline xmlns:a="http://schemas.openxmlformats.org/drawingml/2006/main" xmlns:pic="http://schemas.openxmlformats.org/drawingml/2006/picture">
            <wp:extent cx="5120640" cy="2343750"/>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375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95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S0.</w:t>
      </w:r>
      <w:r>
        <w:rPr>
          <w:rFonts w:ascii="Times New Roman" w:hAnsi="Times New Roman"/>
          <w:b w:val="0"/>
          <w:i w:val="0"/>
          <w:sz w:val="22"/>
        </w:rPr>
        <w:t xml:space="preserve"> Informe editorial: qué se decidió, cuándo y con qué fundamento.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S2.</w:t>
      </w:r>
      <w:r>
        <w:rPr>
          <w:rFonts w:ascii="Times New Roman" w:hAnsi="Times New Roman"/>
          <w:b w:val="0"/>
          <w:i w:val="0"/>
          <w:sz w:val="22"/>
        </w:rPr>
        <w:t xml:space="preserve"> Ecuaciones de búsqueda literales por fuente, con fecha y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S3.</w:t>
      </w:r>
      <w:r>
        <w:rPr>
          <w:rFonts w:ascii="Times New Roman" w:hAnsi="Times New Roman"/>
          <w:b w:val="0"/>
          <w:i w:val="0"/>
          <w:sz w:val="22"/>
        </w:rPr>
        <w:t xml:space="preserve"> Registro completo de decisiones de cribado, en dos ficheros: etapa 2 (título) y etapa 3 (resumen). Cada fila lleva su motivo codificado, quién la emitió y su marca de tiempo.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S4.</w:t>
      </w:r>
      <w:r>
        <w:rPr>
          <w:rFonts w:ascii="Times New Roman" w:hAnsi="Times New Roman"/>
          <w:b w:val="0"/>
          <w:i w:val="0"/>
          <w:sz w:val="22"/>
        </w:rPr>
        <w:t xml:space="preserve"> Pre-extracción desde el resumen,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S5.</w:t>
      </w:r>
      <w:r>
        <w:rPr>
          <w:rFonts w:ascii="Times New Roman" w:hAnsi="Times New Roman"/>
          <w:b w:val="0"/>
          <w:i w:val="0"/>
          <w:sz w:val="22"/>
        </w:rPr>
        <w:t xml:space="preserve"> Listado de los 155 estudios con su situación y sus informes agrupados, y de los 29 excluidos tras el cribado, con su motivo y su cita.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S6.</w:t>
      </w:r>
      <w:r>
        <w:rPr>
          <w:rFonts w:ascii="Times New Roman" w:hAnsi="Times New Roman"/>
          <w:b w:val="0"/>
          <w:i w:val="0"/>
          <w:sz w:val="22"/>
        </w:rPr>
        <w:t xml:space="preserve"> Auditoría de controles positivos.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S8.</w:t>
      </w:r>
      <w:r>
        <w:rPr>
          <w:rFonts w:ascii="Times New Roman" w:hAnsi="Times New Roman"/>
          <w:b w:val="0"/>
          <w:i w:val="0"/>
          <w:sz w:val="22"/>
        </w:rPr>
        <w:t xml:space="preserve"> Registro de recuperación de texto completo: qué se intentó por cada estudio y con qué resultado.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S10.</w:t>
      </w:r>
      <w:r>
        <w:rPr>
          <w:rFonts w:ascii="Times New Roman" w:hAnsi="Times New Roman"/>
          <w:b w:val="0"/>
          <w:i w:val="0"/>
          <w:sz w:val="22"/>
        </w:rPr>
        <w:t xml:space="preserve"> Verificación del idioma sobre el texto completo del PDF, no sobre los metadatos.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S11.</w:t>
      </w:r>
      <w:r>
        <w:rPr>
          <w:rFonts w:ascii="Times New Roman" w:hAnsi="Times New Roman"/>
          <w:b w:val="0"/>
          <w:i w:val="0"/>
          <w:sz w:val="22"/>
        </w:rPr>
        <w:t xml:space="preserve"> Concordancia entre las dos extracciones independientes, antes de resolver los desacuerdos.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S12.</w:t>
      </w:r>
      <w:r>
        <w:rPr>
          <w:rFonts w:ascii="Times New Roman" w:hAnsi="Times New Roman"/>
          <w:b w:val="0"/>
          <w:i w:val="0"/>
          <w:sz w:val="22"/>
        </w:rPr>
        <w:t xml:space="preserve"> Resolución de conflictos de extracción, incluidos los que no pueden dirimirse todavía.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S14.</w:t>
      </w:r>
      <w:r>
        <w:rPr>
          <w:rFonts w:ascii="Times New Roman" w:hAnsi="Times New Roman"/>
          <w:b w:val="0"/>
          <w:i w:val="0"/>
          <w:sz w:val="22"/>
        </w:rPr>
        <w:t xml:space="preserve"> Extracción adjudicada: un valor por casilla, brazo a brazo, tras el consenso.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S15.</w:t>
      </w:r>
      <w:r>
        <w:rPr>
          <w:rFonts w:ascii="Times New Roman" w:hAnsi="Times New Roman"/>
          <w:b w:val="0"/>
          <w:i w:val="0"/>
          <w:sz w:val="22"/>
        </w:rPr>
        <w:t xml:space="preserve"> Procedencia de cada casilla de S14: acuerdo, consenso,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i w:val="0"/>
          <w:sz w:val="22"/>
        </w:rPr>
        <w:t>S13.</w:t>
      </w:r>
      <w:r>
        <w:rPr>
          <w:rFonts w:ascii="Times New Roman" w:hAnsi="Times New Roman"/>
          <w:b w:val="0"/>
          <w:i w:val="0"/>
          <w:sz w:val="22"/>
        </w:rPr>
        <w:t xml:space="preserve"> Reglas de extracción de desenlaces, con su corrección documentada.</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