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251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i w:val="0"/>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i w:val="0"/>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i w:val="0"/>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525 de 541 desacuerdos adjudicados por consenso. El riesgo de sesgo se evaluó por consenso, por dominios, en los 11 comparativos con texto completo (RoB 2, ROBINS-I); no se aplicó GRADE.</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 233 informes formaron 184 estudios evaluados para elegibilidad, de los que 29 se excluyeron: 22 al leer el artículo y 7 sin poder leerlo. Quedan 155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i w:val="0"/>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farmacorresistencia bacteriana múltiple; revisión sistemática.</w:t>
      </w:r>
    </w:p>
    <w:p>
      <w:pPr>
        <w:spacing w:before="360" w:after="40"/>
      </w:pPr>
      <w:r>
        <w:rPr>
          <w:rFonts w:ascii="Times New Roman" w:hAnsi="Times New Roman"/>
          <w:b/>
          <w:i w:val="0"/>
          <w:sz w:val="24"/>
        </w:rPr>
        <w:t>Structured abstract (English) — 253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i w:val="0"/>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i w:val="0"/>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i w:val="0"/>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525 of 541 disagreements adjudicated by consensus. Risk of bias was assessed by consensus, by domain, in the 11 comparative studies with full text (RoB 2, ROBINS-I); GRADE was not applied.</w:t>
      </w:r>
    </w:p>
    <w:p>
      <w:pPr>
        <w:jc w:val="both"/>
      </w:pPr>
      <w:r>
        <w:rPr>
          <w:rFonts w:ascii="Times New Roman" w:hAnsi="Times New Roman"/>
          <w:b/>
          <w:i w:val="0"/>
          <w:sz w:val="22"/>
        </w:rPr>
        <w:t>Results.</w:t>
      </w:r>
      <w:r>
        <w:rPr>
          <w:rFonts w:ascii="Times New Roman" w:hAnsi="Times New Roman"/>
          <w:b w:val="0"/>
          <w:i w:val="0"/>
          <w:sz w:val="22"/>
        </w:rPr>
        <w:t xml:space="preserve"> From 23 057 records, 17 129 unique reports remained; 233 reports formed 184 studies assessed for eligibility, of which 29 were excluded: 22 on reading the article and 7 without being able to read it. 155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w:t>
      </w:r>
    </w:p>
    <w:p>
      <w:pPr>
        <w:jc w:val="both"/>
      </w:pPr>
      <w:r>
        <w:rPr>
          <w:rFonts w:ascii="Times New Roman" w:hAnsi="Times New Roman"/>
          <w:b/>
          <w:i w:val="0"/>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i w:val="0"/>
          <w:sz w:val="22"/>
        </w:rPr>
        <w:t>Keywords:</w:t>
      </w:r>
      <w:r>
        <w:rPr>
          <w:rFonts w:ascii="Times New Roman" w:hAnsi="Times New Roman"/>
          <w:b w:val="0"/>
          <w:i w:val="0"/>
          <w:sz w:val="22"/>
        </w:rPr>
        <w:t xml:space="preserve"> bacteriophages; phage therapy; </w:t>
      </w:r>
      <w:r>
        <w:rPr>
          <w:rFonts w:ascii="Times New Roman" w:hAnsi="Times New Roman"/>
          <w:b w:val="0"/>
          <w:i/>
          <w:sz w:val="22"/>
        </w:rPr>
        <w:t>Pseudomonas aeruginosa</w:t>
      </w:r>
      <w:r>
        <w:rPr>
          <w:rFonts w:ascii="Times New Roman" w:hAnsi="Times New Roman"/>
          <w:b w:val="0"/>
          <w:i w:val="0"/>
          <w:sz w:val="22"/>
        </w:rPr>
        <w:t>; multiple bacterial drug resistance;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Se realizó una revisión sistemática conforme a PRISMA 2020 sobre ocho fuentes, en dos corrientes —bases bibliográficas y registros de ensayos—, con ventana 2016-2026 donde la interfaz la admite. La unidad de inclusión fue el estudio, no el informe. Extracción por duplicado e independiente, con 525 de 541 desacuerdos adjudicados por consenso. El riesgo de sesgo se evaluó por consenso, por dominios, en los 11 comparativos con texto completo (RoB 2, ROBINS-I); no se aplicó GRADE. De 23 057 registros quedaron 17 129 informes únicos; 233 informes formaron 184 estudios evaluados para elegibilidad, de los que 29 se excluyeron: 22 al leer el artículo y 7 sin poder leerlo. Quedan 155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farmacorresistencia bacteriana múltiple;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systematic review was conducted following PRISMA 2020 across eight sources, in two streams —bibliographic databases and trial registries—, with a 2016-2026 window where the interface allows it. The unit of inclusion was the study, not the report. Data were extracted in duplicate and independently, with 525 of 541 disagreements adjudicated by consensus. Risk of bias was assessed by consensus, by domain, in the 11 comparative studies with full text (RoB 2, ROBINS-I); GRADE was not applied. From 23 057 records, 17 129 unique reports remained; 233 reports formed 184 studies assessed for eligibility, of which 29 were excluded: 22 on reading the article and 7 without being able to read it. 155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 The evidence base is broad but unsuited to a quantitative synthesis of efficacy: the published proportions rest on assumptions that these data do not verify.</w:t>
      </w:r>
    </w:p>
    <w:p>
      <w:pPr>
        <w:jc w:val="both"/>
      </w:pPr>
      <w:r>
        <w:rPr>
          <w:rFonts w:ascii="Times New Roman" w:hAnsi="Times New Roman"/>
          <w:b/>
          <w:i w:val="0"/>
          <w:sz w:val="22"/>
        </w:rPr>
        <w:t>Keywords:</w:t>
      </w:r>
      <w:r>
        <w:rPr>
          <w:rFonts w:ascii="Times New Roman" w:hAnsi="Times New Roman"/>
          <w:b w:val="0"/>
          <w:i w:val="0"/>
          <w:sz w:val="22"/>
        </w:rPr>
        <w:t xml:space="preserve"> bacteriophages; phage therapy; </w:t>
      </w:r>
      <w:r>
        <w:rPr>
          <w:rFonts w:ascii="Times New Roman" w:hAnsi="Times New Roman"/>
          <w:b w:val="0"/>
          <w:i/>
          <w:sz w:val="22"/>
        </w:rPr>
        <w:t>Pseudomonas aeruginosa</w:t>
      </w:r>
      <w:r>
        <w:rPr>
          <w:rFonts w:ascii="Times New Roman" w:hAnsi="Times New Roman"/>
          <w:b w:val="0"/>
          <w:i w:val="0"/>
          <w:sz w:val="22"/>
        </w:rPr>
        <w:t>; multiple bacterial drug resistance;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