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350; main text 4 954.</w:t>
      </w:r>
    </w:p>
    <w:p>
      <w:r>
        <w:rPr>
          <w:b/>
        </w:rPr>
        <w:t>Tables:</w:t>
      </w:r>
      <w:r>
        <w:t xml:space="preserve"> 5. </w:t>
      </w:r>
      <w:r>
        <w:rPr>
          <w:b/>
        </w:rPr>
        <w:t>Figures:</w:t>
      </w:r>
      <w:r>
        <w:t xml:space="preserve"> 2. </w:t>
      </w:r>
      <w:r>
        <w:rPr>
          <w:b/>
        </w:rPr>
        <w:t>Supplementary files:</w:t>
      </w:r>
      <w:r>
        <w:t xml:space="preserve"> 14 (S0–S13) plus a guide.</w:t>
      </w:r>
    </w:p>
    <w:p>
      <w:pPr>
        <w:pStyle w:val="Heading1"/>
      </w:pPr>
      <w:r>
        <w:t>Abstract</w:t>
      </w:r>
    </w:p>
    <w:p>
      <w:r>
        <w:rPr>
          <w:b/>
        </w:rPr>
        <w:t>Background.</w:t>
      </w:r>
      <w:r>
        <w:t xml:space="preserve"> Carbapenem-resistant </w:t>
      </w:r>
      <w:r>
        <w:rPr>
          <w:i/>
        </w:rPr>
        <w:t>Pseudomonas aeruginosa</w:t>
      </w:r>
      <w:r>
        <w:t xml:space="preserve"> is listed as a </w:t>
      </w:r>
      <w:r>
        <w:rPr>
          <w:b/>
        </w:rPr>
        <w:t>high</w:t>
      </w:r>
      <w:r>
        <w:t>-priority pathogen in the WHO 2024 list, having been critical priority in the 2017 list. Several recent syntheses have pooled phage therapy outcomes into overall success proportions. Doing so assumes this evidence base can be aggregated, and that assumption has never been examined.</w:t>
      </w:r>
    </w:p>
    <w:p>
      <w:r>
        <w:rPr>
          <w:b/>
        </w:rPr>
        <w:t>Objectives.</w:t>
      </w:r>
      <w:r>
        <w:t xml:space="preserve"> To delimit the clinical literature on phage therapy for resistant </w:t>
      </w:r>
      <w:r>
        <w:rPr>
          <w:i/>
        </w:rPr>
        <w:t>P. aeruginosa</w:t>
      </w:r>
      <w:r>
        <w:t xml:space="preserve"> reproducibly, and to determine whether its structure and reporting completeness permit a quantitative synthesis of efficacy.</w:t>
      </w:r>
    </w:p>
    <w:p>
      <w:r>
        <w:rPr>
          <w:b/>
        </w:rPr>
        <w:t>Methods.</w:t>
      </w:r>
      <w:r>
        <w:t xml:space="preserve"> Systematic review following PRISMA 2020, with separate streams for databases and trial registers. Eight databases and registers were searched, including the regional databases BVS and SciELO, over a publication window of 2016 to 2026 applied in the sources that admit it. Only reports in English or Spanish were eligible, a criterion adopted after screening closed and verified report by report, including against the full text of every retrieved PDF. The unit of inclusion was the study, not the report. Data extraction was performed by hand, in duplicate and independently, with disagreements resolved by consensus. The structural characterisation derives from a systematic pre-extraction from the abstracts; the reporting completeness per outcome, from the adjudicated extraction.</w:t>
      </w:r>
    </w:p>
    <w:p>
      <w:r>
        <w:rPr>
          <w:b/>
        </w:rPr>
        <w:t>Results.</w:t>
      </w:r>
      <w:r>
        <w:t xml:space="preserve"> From 23 057 records, 17 129 unique reports remained. Full-text assessment covered 233 reports, which grouped into 184 studies; 124 of these have a retrievable publication. Single case reports account for 39.5 % and only 18.5 % are comparative designs. Geographic origin is not stated in 61.3 % and resistance class cannot be assigned in 80.6 %. Full text was obtained for 93 studies (75.0 %); the remaining fraction concentrates 47.8 % of the comparative designs. The language criterion removed 35 studies, 18 of them comparative. In 52.3 % of the 132 extracted arms the study gives no operational definition of clinical success, and only 3 arms combine comparative design, numerator, denominator and a definition.</w:t>
      </w:r>
    </w:p>
    <w:p>
      <w:r>
        <w:rPr>
          <w:b/>
        </w:rPr>
        <w:t>Conclusions.</w:t>
      </w:r>
      <w:r>
        <w:t xml:space="preserve"> This evidence base is simultaneously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the verifiability —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every figure this article publishes, was issued by the same model under the variable schema fixed in advance, with every record flagged as partial. The </w:t>
      </w:r>
      <w:r>
        <w:rPr>
          <w:b/>
        </w:rPr>
        <w:t>extraction from full text</w:t>
      </w:r>
      <w:r>
        <w:t>, which would feed the outcomes, was carried out by the reviewers by hand and without the model; its results are not reported here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31 variables and controlled vocabularies, was piloted on five studies before use. Extraction is planned to be </w:t>
      </w:r>
      <w:r>
        <w:rPr>
          <w:b/>
        </w:rPr>
        <w:t>independent and in duplicate</w:t>
      </w:r>
      <w:r>
        <w:t xml:space="preserve"> between the two reviewers, with disagreements resolved by consensus and agreement quantified variable by variable (Cohen's kappa).</w:t>
      </w:r>
    </w:p>
    <w:p>
      <w:r>
        <w:t xml:space="preserve">The extraction form, with 31 variables and controlled vocabularies, was piloted on five studies before use. Extraction was carried out </w:t>
      </w:r>
      <w:r>
        <w:rPr>
          <w:b/>
        </w:rPr>
        <w:t>in duplicate and independently</w:t>
      </w:r>
      <w:r>
        <w:t xml:space="preserve"> between the two reviewers. One reviewer extracted all 124 studies with a retrievable publication and the second extracted 122 of them, so 98 % of the corpus is double-extracted. Over the 130 comparable arm rows, 547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when:531 of 547 are adjudicated. Of the remaining 16, 2 had been closed earlier by a mechanical rule applied to a comparison that was subsequently redone and carry no joint signature, and 14 remain open: 10 because the form offered no "not derivable" option in the fields where the reviewers needed one, and 4 for data requiring the article to be re-read. The complete record, resolution by resolution, is supplied as supplementary material.</w:t>
      </w:r>
    </w:p>
    <w:p>
      <w:r>
        <w:t xml:space="preserve">The data reported here derive from a systematic pre-extraction from the abstracts of the 124 studies, performed with the same variable schema and flagged as partial in every record. This report presents no efficacy estimates: it characterises the structure of the evidence base and its </w:t>
      </w:r>
      <w:r>
        <w:rPr>
          <w:b/>
        </w:rPr>
        <w:t>verifiability</w:t>
      </w:r>
      <w:r>
        <w:t>, with two measured components — retrievability of the report (sections 3.1 and 3.2) and reporting completeness (section 3.4).</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w:t>
      </w:r>
    </w:p>
    <w:p>
      <w:r>
        <w:rPr>
          <w:b/>
        </w:rPr>
        <w:t>Neither assessment was carried out, and this review does not report them.</w:t>
      </w:r>
      <w:r>
        <w:t xml:space="preserve"> The reasons are specific and worth stating separately. Risk of bias requires both reviewers to read each article and issue a domain-by-domain judgement; it remains outstanding and is not substituted by any design-derived indicator, which is not the same thing. In addition, 31 of the 124 studies with a retrievable publication still lack full text (section 3.2), so an assessment made today would omit a non-random fraction of the corpus. As for GRADE, it rates the certainty of a pooled estimate, and this review presents none: section 3.5 shows that only 3 of the 132 arms meet the minimum requirements for pooling. Rating the certainty of a result that does not exist would be a formality, not an assessment.</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3.5.</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w:t>
      </w:r>
      <w:r>
        <w:t>: 154 with a single report and 30 with several, up to a maximum of eleven reports of one trial.</w:t>
      </w:r>
    </w:p>
    <w:p>
      <w:r>
        <w:t xml:space="preserve">Of the 184 studies, </w:t>
      </w:r>
      <w:r>
        <w:rPr>
          <w:b/>
        </w:rPr>
        <w:t>124 have a retrievable publication</w:t>
      </w:r>
      <w:r>
        <w:t xml:space="preserve">: 121 articles and 3 that exist only as conference abstracts. The remaining </w:t>
      </w:r>
      <w:r>
        <w:rPr>
          <w:b/>
        </w:rPr>
        <w:t>60 are trial registry entries alone</w:t>
      </w:r>
      <w:r>
        <w:t>, with no locatable associated publication. That figure by itself describes a field in which almost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93 of the 124 retrievable studies (75.0 %)</w:t>
      </w:r>
      <w:r>
        <w:t xml:space="preserve"> through legitimate open-access routes. The remaining 31 require interlibrary loan, institutional access or a request to the authors.</w:t>
      </w:r>
    </w:p>
    <w:p>
      <w:r>
        <w:t xml:space="preserve">The unretrieved fraction </w:t>
      </w:r>
      <w:r>
        <w:rPr>
          <w:b/>
        </w:rPr>
        <w:t>is not a random sample of the whole</w:t>
      </w:r>
      <w:r>
        <w:t xml:space="preserve"> (Table 3). It contains 11 of the 23 comparative studies, </w:t>
      </w:r>
      <w:r>
        <w:rPr>
          <w:b/>
        </w:rPr>
        <w:t>47.8 %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124 retrievable studies were published between </w:t>
      </w:r>
      <w:r>
        <w:rPr>
          <w:b/>
        </w:rPr>
        <w:t>2016 and 2026</w:t>
      </w:r>
      <w:r>
        <w:t xml:space="preserve">, and </w:t>
      </w:r>
      <w:r>
        <w:rPr>
          <w:b/>
        </w:rPr>
        <w:t>83.1 %</w:t>
      </w:r>
      <w:r>
        <w:t xml:space="preserve"> since 2020. This is a young and rapidly expanding evidence base (Table 1).</w:t>
      </w:r>
    </w:p>
    <w:p>
      <w:r>
        <w:t xml:space="preserve">Its composition by design is what a rescue literature produces, not what a synthesis of efficacy needs: </w:t>
      </w:r>
      <w:r>
        <w:rPr>
          <w:b/>
        </w:rPr>
        <w:t>49 single case reports (39.5 %)</w:t>
      </w:r>
      <w:r>
        <w:t xml:space="preserve">, 19 case series, 16 randomised trials, 13 prospective cohorts, 7 non-randomised trials and 4 retrospective cohorts. A further 16 do not state a recognisable design in the abstract. Comparative designs total </w:t>
      </w:r>
      <w:r>
        <w:rPr>
          <w:b/>
        </w:rPr>
        <w:t>23 studies, 18.5 %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80.6 %</w:t>
      </w:r>
      <w:r>
        <w:t xml:space="preserve"> of studies: 70.2 % do not mention it at all and a further 10.5 %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57.3 %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52.4 %</w:t>
      </w:r>
      <w:r>
        <w:t>.</w:t>
      </w:r>
    </w:p>
    <w:p>
      <w:pPr>
        <w:pStyle w:val="ListBullet"/>
      </w:pPr>
      <w:r>
        <w:t xml:space="preserve">Fulfilment of the </w:t>
      </w:r>
      <w:r>
        <w:rPr>
          <w:b/>
        </w:rPr>
        <w:t>DTR</w:t>
      </w:r>
      <w:r>
        <w:t xml:space="preserve"> criterion (difficult-to-treat resistance) is not stated in </w:t>
      </w:r>
      <w:r>
        <w:rPr>
          <w:b/>
        </w:rPr>
        <w:t>98.4 %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(73.5 % of arms) and emergence of phage resistance the least (24.2 %), despite being the outcome that determines whether the intervention retains its usefulness. Clinical success, the outcome that published syntheses pool, is reported with numerator and denominator in 62.9 % of arms.</w:t>
      </w:r>
    </w:p>
    <w:p>
      <w:r>
        <w:t xml:space="preserve">That 62.9 % is misleading, however, if read as availability for pooling. </w:t>
      </w:r>
      <w:r>
        <w:rPr>
          <w:b/>
        </w:rPr>
        <w:t>In 69 of the 132 arms (52.3 %) the two reviewers concluded, by consensus, that the study offers no operational definition of clinical success</w:t>
      </w:r>
      <w:r>
        <w:t>: the article states a number of patients with a "good outcome" without saying what had to be observed to count one. Such a numerator names nothing comparable to another study's numerator.</w:t>
      </w:r>
    </w:p>
    <w:p>
      <w:r>
        <w:t xml:space="preserve">Crossing the four requirements a pooled proportion would demand — comparative design, numerator, denominator and an operational definition of the outcome — leaves </w:t>
      </w:r>
      <w:r>
        <w:rPr>
          <w:b/>
        </w:rPr>
        <w:t>3 of the 132 arms</w:t>
      </w:r>
      <w:r>
        <w:t xml:space="preserve">. Those three, moreover, measure different things: one takes as its primary outcome the </w:t>
      </w:r>
      <w:r>
        <w:rPr>
          <w:i/>
        </w:rPr>
        <w:t>time</w:t>
      </w:r>
      <w:r>
        <w:t xml:space="preserve"> to a sustained reduction in bacterial burden measured by swab; another, the absence or resolution of a six-sign clinical syndrome without ventilator-associated pneumonia; the third, relief of symptoms "regardless of whether the bacteria was detected". No two define the same thing.</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184 studies against the dozens handled by published reviews, and would have been 219 without the language restriction adopted at the end.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184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search did not query Embase or the WHO ICTRP, which reduces coverage of case series and conference abstracts and leaves the register stream limited to the United States and the European Union. </w:t>
      </w:r>
      <w:r>
        <w:rPr>
          <w:b/>
        </w:rPr>
        <w:t>Second</w:t>
      </w:r>
      <w:r>
        <w:t xml:space="preserve">, it was limited to publications from 2016 to 2026, so it describes recent output rather than the whole field. </w:t>
      </w:r>
      <w:r>
        <w:rPr>
          <w:b/>
        </w:rPr>
        <w:t>Third</w:t>
      </w:r>
      <w:r>
        <w:t xml:space="preserve">, this report presents no outcomes, no risk-of-bias assessment and no GRADE certainty: it is a characterisation of the evidence base, not a synthesis of its results. </w:t>
      </w:r>
      <w:r>
        <w:rPr>
          <w:b/>
        </w:rPr>
        <w:t>Fourth</w:t>
      </w:r>
      <w:r>
        <w:t xml:space="preserve">, full text was obtained for 75.0 % of the retrievable studies, and the missing fraction is enriched in comparative designs, so what is described under-represents the comparative part of the field. </w:t>
      </w:r>
      <w:r>
        <w:rPr>
          <w:b/>
        </w:rPr>
        <w:t>Fifth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nine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sources,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r>
        <w:rPr>
          <w:b/>
        </w:rPr>
        <w:t>Acknowledgements.</w:t>
      </w:r>
      <w:r>
        <w:t xml:space="preserve"> The authors thank the library staff of Universidad Católica de Cuenca for handling the interlibrary loan requests, and the authors of the studies who responded to full-text requests.</w:t>
      </w:r>
    </w:p>
    <w:p>
      <w:pPr>
        <w:pStyle w:val="Heading1"/>
      </w:pPr>
      <w:r>
        <w:t>Tables and figures</w:t>
      </w:r>
    </w:p>
    <w:p>
      <w:r>
        <w:t>The five tables are supplied as separate files (`paper/tablas/`), each with its own footnote. Both figures are supplied as vector PDF (`paper/figuras/`).</w:t>
      </w:r>
    </w:p>
    <w:p>
      <w:r>
        <w:rPr>
          <w:b/>
        </w:rPr>
        <w:t>Table 1.</w:t>
      </w:r>
      <w:r>
        <w:t xml:space="preserve"> Characteristics of the retrievable evidence base (n = 124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124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124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