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525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 declara que NO se ha evaluado y por qué: exige lectura por dominio de los dos revisores, y 31 de los 124 estudios siguen sin texto completo. No se promete para una versión futura de este informe. Declarado también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184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muestra que solo 3 de los 132 brazos reúnen los requisitos mínimos para agregar, y uno de ellos mide tiempo y no una proporción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S3 recoge los motivos de las etapas 1 a 3 con vocabulario cerrado; la exclusión en texto completo se producirá con la extracción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se ha realizado. El motivo está en §2.7 y la limitación en §4.4; no se promete para una versión futura de este informe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Tabla 5 reportan la COMPLETITUD con que cada estudio declara los cinco desenlaces, no sus estimaciones de efecto. El dato por estudio está en la extracción adjudicada que acompaña al depósito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19 ítems</w:t>
      </w:r>
    </w:p>
    <w:p>
      <w:pPr>
        <w:pStyle w:val="ListBullet"/>
      </w:pPr>
      <w:r>
        <w:t>PARCIAL: 7 ítems</w:t>
      </w:r>
    </w:p>
    <w:p>
      <w:pPr>
        <w:pStyle w:val="ListBullet"/>
      </w:pPr>
      <w:r>
        <w:t>NO CUMPLE: 5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