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298; texto principal 5 597.</w:t>
      </w:r>
    </w:p>
    <w:p>
      <w:r>
        <w:rPr>
          <w:b/>
        </w:rPr>
        <w:t>Tablas:</w:t>
      </w:r>
      <w:r>
        <w:t xml:space="preserve"> 5. </w:t>
      </w:r>
      <w:r>
        <w:rPr>
          <w:b/>
        </w:rPr>
        <w:t>Figuras:</w:t>
      </w:r>
      <w:r>
        <w:t xml:space="preserve"> 2. </w:t>
      </w:r>
      <w:r>
        <w:rPr>
          <w:b/>
        </w:rPr>
        <w:t>Material suplementario:</w:t>
      </w:r>
      <w:r>
        <w:t xml:space="preserve"> 14 anexos (S0–S13) y su guía.</w:t>
      </w:r>
    </w:p>
    <w:p>
      <w:pPr>
        <w:pStyle w:val="Heading1"/>
      </w:pPr>
      <w:r>
        <w:t>Resumen</w:t>
      </w:r>
    </w:p>
    <w:p>
      <w:r>
        <w:rPr>
          <w:b/>
        </w:rPr>
        <w:t>Antecedentes.</w:t>
      </w:r>
      <w:r>
        <w:t xml:space="preserve"> </w:t>
      </w:r>
      <w:r>
        <w:rPr>
          <w:i/>
        </w:rPr>
        <w:t>Pseudomonas aeruginosa</w:t>
      </w:r>
      <w:r>
        <w:t xml:space="preserve"> resistente a carbapenémicos es patógeno de prioridad </w:t>
      </w:r>
      <w:r>
        <w:rPr>
          <w:b/>
        </w:rPr>
        <w:t>alta</w:t>
      </w:r>
      <w:r>
        <w:t xml:space="preserve"> para la OMS. Varias síntesis recientes agregan los desenlaces de la fagoterapia en proporciones globales de éxito, lo que presupone que este cuerpo de evidencia admite agregación. Nadie ha examinado ese supuesto.</w:t>
      </w:r>
    </w:p>
    <w:p>
      <w:r>
        <w:rPr>
          <w:b/>
        </w:rPr>
        <w:t>Objetivos.</w:t>
      </w:r>
      <w:r>
        <w:t xml:space="preserve"> Delimitar de forma reproducible esa literatura y determinar si su estructura y su reporte permiten una síntesis cuantitativa de eficacia.</w:t>
      </w:r>
    </w:p>
    <w:p>
      <w:r>
        <w:rPr>
          <w:b/>
        </w:rPr>
        <w:t>Métodos.</w:t>
      </w:r>
      <w:r>
        <w:t xml:space="preserve"> Revisión conforme a PRISMA 2020, con corrientes separadas para bases y registros. Ocho fuentes, incluidas BVS y SciELO, ventana de 2016 a 2026 donde la admiten. Solo inglés o español, criterio incorporado como </w:t>
      </w:r>
      <w:r>
        <w:rPr>
          <w:b/>
        </w:rPr>
        <w:t>enmienda posterior al cribado</w:t>
      </w:r>
      <w:r>
        <w:t xml:space="preserve"> y verificado sobre el texto completo. La unidad fue el estudio. Extracción manual, por duplicado e independiente, con los desacuerdos resueltos por consenso; la caracterización estructural procede de una pre-extracción desde el resumen y la completitud por desenlace, de la extracción adjudicada.</w:t>
      </w:r>
    </w:p>
    <w:p>
      <w:r>
        <w:rPr>
          <w:b/>
        </w:rPr>
        <w:t>Resultados.</w:t>
      </w:r>
      <w:r>
        <w:t xml:space="preserve"> De 23 057 registros quedaron 17 129 informes únicos. Pasaron a texto completo 233, agrupados en 184 estudios; 124 de ellos tienen publicación recuperable. El 39,5 % son casos únicos y el 18,5 % comparativos; no consta la procedencia en el 61,3 % ni la clase de resistencia en el 80,6 %. Se obtuvo el texto completo de 93 estudios (75,0 %); la fracción restante concentra el 47,8 % de los diseños comparativos. El criterio de idioma eliminó 35 estudios, 18 comparativos. En 89 de los 132 brazos extraídos (67,4 %) no consta definición operativa del éxito clínico, y solo 3 reúnen diseño comparativo, numerador, denominador y definición; uno mide tiempo, no proporción.</w:t>
      </w:r>
    </w:p>
    <w:p>
      <w:r>
        <w:rPr>
          <w:b/>
        </w:rPr>
        <w:t>Conclusiones.</w:t>
      </w:r>
      <w:r>
        <w:t xml:space="preserve"> Este cuerpo de evidencia es amplio y a la vez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48 estudios que declaran procedencia, 21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con publicación recuperable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124 estudios,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31 de los 124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3 de los 132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93 de los 124 estudios recuperables (75,0 %)</w:t>
      </w:r>
      <w:r>
        <w:t xml:space="preserve"> por vías de acceso abierto legítimas. Los 31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80,6 %</w:t>
      </w:r>
      <w:r>
        <w:t xml:space="preserve"> de los estudios: el 70,2 % no la menciona en absoluto y un 10,5 %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132 brazos extraídos.</w:t>
      </w:r>
    </w:p>
    <w:p>
      <w:r>
        <w:t>La completitud es desigual y, en el mejor de los casos, parcial. Los eventos adversos son lo que más se reporta con denominador (73,5 % de los brazos) y la emergencia de resistencia al fago lo que menos (24,2 %), pese a ser el desenlace que decide si la intervención conserva su utilidad. Esos porcentajes se calculan sobre los 132 brazos, e incluyen por tanto 31 de estudios cuyo texto completo no se ha recuperado: de un artículo que no se ha podido leer no cabe afirmar que calle. Sobre los 101 brazos legibles las cifras suben —del 73,5 % al 84,2 % en eventos adversos, del 24,2 % al 31,7 % en resistencia—, y la tabla 5 da las dos columnas para que el lector distinga el silencio de la literatura del hueco documental de esta revisión. El éxito clínico, que es el que las síntesis publicadas agregan, consta con numerador y denominador en el 62,9 % de los brazos. Dos brazos reportan un numerador mayor que su denominador —trece éxitos clínicos sobre un paciente, y cinco eventos adversos sobre cuatro—; se señalan como error de reporte y no se leen como proporciones.</w:t>
      </w:r>
    </w:p>
    <w:p>
      <w:r>
        <w:t xml:space="preserve">Ese 62,9 % es, sin embargo, engañoso si se lee como disponibilidad para agregar. </w:t>
      </w:r>
      <w:r>
        <w:rPr>
          <w:b/>
        </w:rPr>
        <w:t>En 89 de los 132 brazos (67,4 %) no consta una definición operativa de éxito clínico.</w:t>
      </w:r>
      <w:r>
        <w:t xml:space="preserve"> En 60 de ellos los revisores lo establecieron leyendo el artículo: 58 declaran un número de pacientes con «buen resultado» sin decir qué había que observar para contarlo, y 2 dejaron el campo sin dato. En los 29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El diseño tampoco consta siempre: en 30 de los 132 brazos no puede clasificarse —20 en que los dos revisores acordaron «NA» y 10 que siguen abiertos—, de modo que los recuentos por diseño son suelos sobre los 102 restantes. De esos 102, 24 brazos son de diseño comparativo.</w:t>
      </w:r>
    </w:p>
    <w:p>
      <w:r>
        <w:t xml:space="preserve">Al cruzar los cuatro requisitos que una proporción agrupada exigiría —diseño comparativo, numerador, denominador y definición operativa del desenlace— el corpus deja </w:t>
      </w:r>
      <w:r>
        <w:rPr>
          <w:b/>
        </w:rPr>
        <w:t>3 brazos de los 132</w:t>
      </w:r>
      <w:r>
        <w:t xml:space="preserve">. Y uno de los tres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Quedan 2.</w:t>
      </w:r>
      <w:r>
        <w:t xml:space="preserve"> Y los dos definen el éxito de forma distinta: uno como la ausencia o resolución de un síndrome clínico de seis signos sin neumonía asociada a ventilación; el otro, como el alivio de los síntomas «con independencia de si la bacteria se detectaba». No hay dos que definan lo mismo porque no hay dos.</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describe la completitud con que se reportan los desenlaces (sección 3.5), pero no presenta estimaciones de eficacia, ni evaluación del riesgo de sesgo, ni certeza GRADE (sección 2.7): es una caracterización del cuerpo de evidencia, no una síntesis de sus resultados. </w:t>
      </w:r>
      <w:r>
        <w:rPr>
          <w:b/>
        </w:rPr>
        <w:t>Cuarta:</w:t>
      </w:r>
      <w:r>
        <w:t xml:space="preserve"> el texto completo se obtuvo para el 75,0 %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cinco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132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