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0"/>
        </w:rPr>
        <w:t>Datos para la carta de cesión de derechos de JSR</w:t>
      </w:r>
    </w:p>
    <w:p>
      <w:pPr>
        <w:jc w:val="both"/>
      </w:pPr>
      <w:r>
        <w:rPr>
          <w:rFonts w:ascii="Times New Roman" w:hAnsi="Times New Roman"/>
          <w:b w:val="0"/>
          <w:i w:val="0"/>
          <w:sz w:val="21"/>
        </w:rPr>
        <w:t xml:space="preserve">Esta hoja </w:t>
      </w:r>
      <w:r>
        <w:rPr>
          <w:rFonts w:ascii="Times New Roman" w:hAnsi="Times New Roman"/>
          <w:b w:val="0"/>
          <w:i/>
          <w:sz w:val="21"/>
        </w:rPr>
        <w:t>no es la carta</w:t>
      </w:r>
      <w:r>
        <w:rPr>
          <w:rFonts w:ascii="Times New Roman" w:hAnsi="Times New Roman"/>
          <w:b w:val="0"/>
          <w:i w:val="0"/>
          <w:sz w:val="21"/>
        </w:rPr>
        <w:t xml:space="preserve">. La carta la provee la revista, se llama «Carta de originalidad y cesión de derechos» y se descarga de la sección «Archivos y formatos descargables» de https://revistas.utb.edu.ec/index.php/sr/about/submissions. Su lista de comprobación avisa de que </w:t>
      </w:r>
      <w:r>
        <w:rPr>
          <w:rFonts w:ascii="Times New Roman" w:hAnsi="Times New Roman"/>
          <w:b w:val="0"/>
          <w:i/>
          <w:sz w:val="21"/>
        </w:rPr>
        <w:t>no se inicia la revisión</w:t>
      </w:r>
      <w:r>
        <w:rPr>
          <w:rFonts w:ascii="Times New Roman" w:hAnsi="Times New Roman"/>
          <w:b w:val="0"/>
          <w:i w:val="0"/>
          <w:sz w:val="21"/>
        </w:rPr>
        <w:t xml:space="preserve"> si no llegan el artículo, esta carta y el formato de información de autores, en los formatos de ellos. Aquí está lo que va en cada hueco.</w:t>
      </w:r>
    </w:p>
    <w:p>
      <w:pPr>
        <w:jc w:val="both"/>
      </w:pPr>
      <w:r>
        <w:rPr>
          <w:rFonts w:ascii="Times New Roman" w:hAnsi="Times New Roman"/>
          <w:b w:val="0"/>
          <w:i/>
          <w:sz w:val="21"/>
        </w:rPr>
        <w:t>Antes de firmar nada: si este informe se envía.</w:t>
      </w:r>
      <w:r>
        <w:rPr>
          <w:rFonts w:ascii="Times New Roman" w:hAnsi="Times New Roman"/>
          <w:b w:val="0"/>
          <w:i w:val="0"/>
          <w:sz w:val="21"/>
        </w:rPr>
        <w:t xml:space="preserve"> El protocolo de la fase definitiva (borrador para OSF, protocolo_revision_sistematica.md) dice: «El informe de la fase piloto no se ha enviado a ninguna revista y no se enviará como tal.» Firmar esta cesión es enviarlo. Los autores deciden antes: o no se envía, o se cambia esa frase del protocolo antes de depositarlo y el manuscrito se presenta como piloto.</w:t>
      </w:r>
    </w:p>
    <w:p>
      <w:pPr>
        <w:spacing w:before="280" w:after="100"/>
      </w:pPr>
      <w:r>
        <w:rPr>
          <w:rFonts w:ascii="Times New Roman" w:hAnsi="Times New Roman"/>
          <w:b/>
          <w:i w:val="0"/>
          <w:sz w:val="26"/>
        </w:rPr>
        <w:t>Lo que hay que escribir en la carta</w:t>
      </w:r>
    </w:p>
    <w:p>
      <w:pPr>
        <w:spacing w:after="80"/>
        <w:ind w:left="432" w:hanging="432"/>
      </w:pPr>
      <w:r>
        <w:rPr>
          <w:rFonts w:ascii="Times New Roman" w:hAnsi="Times New Roman"/>
          <w:b/>
          <w:sz w:val="22"/>
        </w:rPr>
        <w:t xml:space="preserve">Lugar y fecha:  </w:t>
      </w:r>
      <w:r>
        <w:rPr>
          <w:rFonts w:ascii="Times New Roman" w:hAnsi="Times New Roman"/>
          <w:sz w:val="22"/>
        </w:rPr>
        <w:t>Cuenca, Ecuador — dd/mm/aa el día que se firme</w:t>
      </w:r>
    </w:p>
    <w:p>
      <w:pPr>
        <w:spacing w:after="80"/>
        <w:ind w:left="432" w:hanging="432"/>
      </w:pPr>
      <w:r>
        <w:rPr>
          <w:rFonts w:ascii="Times New Roman" w:hAnsi="Times New Roman"/>
          <w:b/>
          <w:sz w:val="22"/>
        </w:rPr>
        <w:t xml:space="preserve">Nombre del artículo:  </w:t>
      </w:r>
      <w:r>
        <w:rPr>
          <w:rFonts w:ascii="Times New Roman" w:hAnsi="Times New Roman"/>
          <w:sz w:val="22"/>
        </w:rPr>
        <w:t>Fagoterapia en infecciones por Pseudomonas aeruginosa multirresistente: revisión sistemática de la literatura clínica y la completitud de su reporte</w:t>
      </w:r>
    </w:p>
    <w:p>
      <w:pPr>
        <w:ind w:left="432"/>
      </w:pPr>
      <w:r>
        <w:rPr>
          <w:rFonts w:ascii="Times New Roman" w:hAnsi="Times New Roman"/>
          <w:b w:val="0"/>
          <w:i/>
          <w:sz w:val="19"/>
        </w:rPr>
        <w:t>(19 palabras, dentro del máximo de 20 que pide la revista. El binomio va en cursiva: Pseudomonas aeruginosa.)</w:t>
      </w:r>
    </w:p>
    <w:p>
      <w:pPr>
        <w:spacing w:before="240" w:after="100"/>
      </w:pPr>
      <w:r>
        <w:rPr>
          <w:rFonts w:ascii="Times New Roman" w:hAnsi="Times New Roman"/>
          <w:b/>
          <w:i w:val="0"/>
          <w:sz w:val="24"/>
        </w:rPr>
        <w:t>Firma del Autor I</w:t>
      </w:r>
    </w:p>
    <w:p>
      <w:pPr>
        <w:spacing w:after="80"/>
        <w:ind w:left="432" w:hanging="432"/>
      </w:pPr>
      <w:r>
        <w:rPr>
          <w:rFonts w:ascii="Times New Roman" w:hAnsi="Times New Roman"/>
          <w:b/>
          <w:sz w:val="22"/>
        </w:rPr>
        <w:t xml:space="preserve">Nombres y apellidos:  </w:t>
      </w:r>
      <w:r>
        <w:rPr>
          <w:rFonts w:ascii="Times New Roman" w:hAnsi="Times New Roman"/>
          <w:sz w:val="22"/>
        </w:rPr>
        <w:t>Danny Valdiviezo</w:t>
      </w:r>
    </w:p>
    <w:p>
      <w:pPr>
        <w:spacing w:after="80"/>
        <w:ind w:left="432" w:hanging="432"/>
      </w:pPr>
      <w:r>
        <w:rPr>
          <w:rFonts w:ascii="Times New Roman" w:hAnsi="Times New Roman"/>
          <w:b/>
          <w:sz w:val="22"/>
        </w:rPr>
        <w:t xml:space="preserve">Documento de identidad:  </w:t>
      </w:r>
      <w:r>
        <w:rPr>
          <w:rFonts w:ascii="Times New Roman" w:hAnsi="Times New Roman"/>
          <w:color w:val="A03020"/>
          <w:sz w:val="22"/>
        </w:rPr>
        <w:t>PENDIENTE — solo lo tiene D. Valdiviezo</w:t>
      </w:r>
    </w:p>
    <w:p>
      <w:pPr>
        <w:spacing w:after="80"/>
        <w:ind w:left="432" w:hanging="432"/>
      </w:pPr>
      <w:r>
        <w:rPr>
          <w:rFonts w:ascii="Times New Roman" w:hAnsi="Times New Roman"/>
          <w:b/>
          <w:sz w:val="22"/>
        </w:rPr>
        <w:t xml:space="preserve">Correo electrónico:  </w:t>
      </w:r>
      <w:r>
        <w:rPr>
          <w:rFonts w:ascii="Times New Roman" w:hAnsi="Times New Roman"/>
          <w:sz w:val="22"/>
        </w:rPr>
        <w:t>dvchiqui@gmail.com</w:t>
      </w:r>
    </w:p>
    <w:p>
      <w:pPr>
        <w:spacing w:after="80"/>
        <w:ind w:left="432" w:hanging="432"/>
      </w:pPr>
      <w:r>
        <w:rPr>
          <w:rFonts w:ascii="Times New Roman" w:hAnsi="Times New Roman"/>
          <w:b/>
          <w:sz w:val="22"/>
        </w:rPr>
        <w:t xml:space="preserve">Número ORCID:  </w:t>
      </w:r>
      <w:r>
        <w:rPr>
          <w:rFonts w:ascii="Times New Roman" w:hAnsi="Times New Roman"/>
          <w:color w:val="A03020"/>
          <w:sz w:val="22"/>
        </w:rPr>
        <w:t>PENDIENTE (opcional para la revista)</w:t>
      </w:r>
    </w:p>
    <w:p>
      <w:pPr>
        <w:spacing w:after="80"/>
        <w:ind w:left="432" w:hanging="432"/>
      </w:pPr>
      <w:r>
        <w:rPr>
          <w:rFonts w:ascii="Times New Roman" w:hAnsi="Times New Roman"/>
          <w:b/>
          <w:sz w:val="22"/>
        </w:rPr>
        <w:t xml:space="preserve">Filiación:  </w:t>
      </w:r>
      <w:r>
        <w:rPr>
          <w:rFonts w:ascii="Times New Roman" w:hAnsi="Times New Roman"/>
          <w:sz w:val="22"/>
        </w:rPr>
        <w:t>Facultad de Medicina, Universidad Católica de Cuenca, Cuenca, Ecuador</w:t>
      </w:r>
    </w:p>
    <w:p>
      <w:pPr>
        <w:spacing w:before="240" w:after="100"/>
      </w:pPr>
      <w:r>
        <w:rPr>
          <w:rFonts w:ascii="Times New Roman" w:hAnsi="Times New Roman"/>
          <w:b/>
          <w:i w:val="0"/>
          <w:sz w:val="24"/>
        </w:rPr>
        <w:t>Firma del Autor II</w:t>
      </w:r>
    </w:p>
    <w:p>
      <w:pPr>
        <w:spacing w:after="80"/>
        <w:ind w:left="432" w:hanging="432"/>
      </w:pPr>
      <w:r>
        <w:rPr>
          <w:rFonts w:ascii="Times New Roman" w:hAnsi="Times New Roman"/>
          <w:b/>
          <w:sz w:val="22"/>
        </w:rPr>
        <w:t xml:space="preserve">Nombres y apellidos:  </w:t>
      </w:r>
      <w:r>
        <w:rPr>
          <w:rFonts w:ascii="Times New Roman" w:hAnsi="Times New Roman"/>
          <w:sz w:val="22"/>
        </w:rPr>
        <w:t>Nataly Trelles</w:t>
      </w:r>
    </w:p>
    <w:p>
      <w:pPr>
        <w:spacing w:after="80"/>
        <w:ind w:left="432" w:hanging="432"/>
      </w:pPr>
      <w:r>
        <w:rPr>
          <w:rFonts w:ascii="Times New Roman" w:hAnsi="Times New Roman"/>
          <w:b/>
          <w:sz w:val="22"/>
        </w:rPr>
        <w:t xml:space="preserve">Documento de identidad:  </w:t>
      </w:r>
      <w:r>
        <w:rPr>
          <w:rFonts w:ascii="Times New Roman" w:hAnsi="Times New Roman"/>
          <w:color w:val="A03020"/>
          <w:sz w:val="22"/>
        </w:rPr>
        <w:t>PENDIENTE</w:t>
      </w:r>
    </w:p>
    <w:p>
      <w:pPr>
        <w:spacing w:after="80"/>
        <w:ind w:left="432" w:hanging="432"/>
      </w:pPr>
      <w:r>
        <w:rPr>
          <w:rFonts w:ascii="Times New Roman" w:hAnsi="Times New Roman"/>
          <w:b/>
          <w:sz w:val="22"/>
        </w:rPr>
        <w:t xml:space="preserve">Correo electrónico:  </w:t>
      </w:r>
      <w:r>
        <w:rPr>
          <w:rFonts w:ascii="Times New Roman" w:hAnsi="Times New Roman"/>
          <w:color w:val="A03020"/>
          <w:sz w:val="22"/>
        </w:rPr>
        <w:t>PENDIENTE</w:t>
      </w:r>
    </w:p>
    <w:p>
      <w:pPr>
        <w:spacing w:after="80"/>
        <w:ind w:left="432" w:hanging="432"/>
      </w:pPr>
      <w:r>
        <w:rPr>
          <w:rFonts w:ascii="Times New Roman" w:hAnsi="Times New Roman"/>
          <w:b/>
          <w:sz w:val="22"/>
        </w:rPr>
        <w:t xml:space="preserve">Número ORCID:  </w:t>
      </w:r>
      <w:r>
        <w:rPr>
          <w:rFonts w:ascii="Times New Roman" w:hAnsi="Times New Roman"/>
          <w:color w:val="A03020"/>
          <w:sz w:val="22"/>
        </w:rPr>
        <w:t>PENDIENTE (opcional para la revista)</w:t>
      </w:r>
    </w:p>
    <w:p>
      <w:pPr>
        <w:spacing w:after="80"/>
        <w:ind w:left="432" w:hanging="432"/>
      </w:pPr>
      <w:r>
        <w:rPr>
          <w:rFonts w:ascii="Times New Roman" w:hAnsi="Times New Roman"/>
          <w:b/>
          <w:sz w:val="22"/>
        </w:rPr>
        <w:t xml:space="preserve">Filiación:  </w:t>
      </w:r>
      <w:r>
        <w:rPr>
          <w:rFonts w:ascii="Times New Roman" w:hAnsi="Times New Roman"/>
          <w:sz w:val="22"/>
        </w:rPr>
        <w:t>Facultad de Medicina, Universidad Católica de Cuenca, Cuenca, Ecuador</w:t>
      </w:r>
    </w:p>
    <w:p>
      <w:pPr>
        <w:spacing w:before="280" w:after="100"/>
      </w:pPr>
      <w:r>
        <w:rPr>
          <w:rFonts w:ascii="Times New Roman" w:hAnsi="Times New Roman"/>
          <w:b/>
          <w:i w:val="0"/>
          <w:sz w:val="26"/>
        </w:rPr>
        <w:t>Los ocho puntos que se firman, y cómo está cada uno</w:t>
      </w:r>
    </w:p>
    <w:p>
      <w:r>
        <w:rPr>
          <w:rFonts w:ascii="Times New Roman" w:hAnsi="Times New Roman"/>
          <w:b w:val="0"/>
          <w:i w:val="0"/>
          <w:sz w:val="20"/>
        </w:rPr>
        <w:t>Copiados de la carta de la revista el 14 de septiembre de 2026, para comprobarlos antes de firmar. Quien firma responde por los ocho.</w:t>
      </w:r>
    </w:p>
    <w:p>
      <w:pPr>
        <w:spacing w:after="40"/>
        <w:ind w:left="504" w:hanging="504"/>
      </w:pPr>
      <w:r>
        <w:rPr>
          <w:rFonts w:ascii="Times New Roman" w:hAnsi="Times New Roman"/>
          <w:b w:val="0"/>
          <w:i w:val="0"/>
          <w:sz w:val="21"/>
        </w:rPr>
        <w:t>1. Se esta de acuerdo con el contenido publicado en el mismo.</w:t>
      </w:r>
    </w:p>
    <w:p>
      <w:pPr>
        <w:spacing w:after="140"/>
        <w:ind w:left="864"/>
      </w:pPr>
      <w:r>
        <w:rPr>
          <w:rFonts w:ascii="Times New Roman" w:hAnsi="Times New Roman"/>
          <w:i/>
          <w:color w:val="A03020"/>
          <w:sz w:val="20"/>
        </w:rPr>
        <w:t>ATENCIÓN: lo firman los dos autores, y la aprobación escrita de N. Trelles sobre esta versión no consta todavía: su CRediT lleva aún el marcador ‹‹N. TRELLES: REVISIÓN Y EDICIÓN DEL MANUSCRITO, SOLO CUANDO CONSTE POR ESCRITO››. Ver el punto pendiente al final.</w:t>
      </w:r>
    </w:p>
    <w:p>
      <w:pPr>
        <w:spacing w:after="40"/>
        <w:ind w:left="504" w:hanging="504"/>
      </w:pPr>
      <w:r>
        <w:rPr>
          <w:rFonts w:ascii="Times New Roman" w:hAnsi="Times New Roman"/>
          <w:b w:val="0"/>
          <w:i w:val="0"/>
          <w:sz w:val="21"/>
        </w:rPr>
        <w:t>2. Cesion a titulo gratuito de la totalidad de los derechos patrimoniales de autor derivados del articulo, a favor de la citada publicacion.</w:t>
      </w:r>
    </w:p>
    <w:p>
      <w:pPr>
        <w:spacing w:after="140"/>
        <w:ind w:left="864"/>
      </w:pPr>
      <w:r>
        <w:rPr>
          <w:rFonts w:ascii="Times New Roman" w:hAnsi="Times New Roman"/>
          <w:i/>
          <w:color w:val="444444"/>
          <w:sz w:val="20"/>
        </w:rPr>
        <w:t>Decisión de los autores. No afecta a nada de lo construido.</w:t>
      </w:r>
    </w:p>
    <w:p>
      <w:pPr>
        <w:spacing w:after="40"/>
        <w:ind w:left="504" w:hanging="504"/>
      </w:pPr>
      <w:r>
        <w:rPr>
          <w:rFonts w:ascii="Times New Roman" w:hAnsi="Times New Roman"/>
          <w:b w:val="0"/>
          <w:i w:val="0"/>
          <w:sz w:val="21"/>
        </w:rPr>
        <w:t>3. Se esta de acuerdo con el orden en el que aparecen los autores.</w:t>
      </w:r>
    </w:p>
    <w:p>
      <w:pPr>
        <w:spacing w:after="140"/>
        <w:ind w:left="864"/>
      </w:pPr>
      <w:r>
        <w:rPr>
          <w:rFonts w:ascii="Times New Roman" w:hAnsi="Times New Roman"/>
          <w:i/>
          <w:color w:val="444444"/>
          <w:sz w:val="20"/>
        </w:rPr>
        <w:t>D. Valdiviezo en primer lugar y N. Trelles en segundo, como en el manuscrito.</w:t>
      </w:r>
    </w:p>
    <w:p>
      <w:pPr>
        <w:spacing w:after="40"/>
        <w:ind w:left="504" w:hanging="504"/>
      </w:pPr>
      <w:r>
        <w:rPr>
          <w:rFonts w:ascii="Times New Roman" w:hAnsi="Times New Roman"/>
          <w:b w:val="0"/>
          <w:i w:val="0"/>
          <w:sz w:val="21"/>
        </w:rPr>
        <w:t>4. No existen personas adicionales que satisfagan los criterios de autoria y no hayan sido incluidas.</w:t>
      </w:r>
    </w:p>
    <w:p>
      <w:pPr>
        <w:spacing w:after="140"/>
        <w:ind w:left="864"/>
      </w:pPr>
      <w:r>
        <w:rPr>
          <w:rFonts w:ascii="Times New Roman" w:hAnsi="Times New Roman"/>
          <w:i/>
          <w:color w:val="444444"/>
          <w:sz w:val="20"/>
        </w:rPr>
        <w:t>Cierto en cuanto a personas: las únicas que intervinieron son los dos autores. Un modelo de lenguaje intervino en todas las fases y no puede ser autor; la declaración «Uso de inteligencia artificial» del manuscrito lo dice así: «Ninguna herramienta de IA figura como autora, conforme a las recomendaciones del ICMJE.»</w:t>
      </w:r>
    </w:p>
    <w:p>
      <w:pPr>
        <w:spacing w:after="40"/>
        <w:ind w:left="504" w:hanging="504"/>
      </w:pPr>
      <w:r>
        <w:rPr>
          <w:rFonts w:ascii="Times New Roman" w:hAnsi="Times New Roman"/>
          <w:b w:val="0"/>
          <w:i w:val="0"/>
          <w:sz w:val="21"/>
        </w:rPr>
        <w:t>5. La persona designada como autor de correspondencia es el unico contacto y el responsable de comunicarse con el resto de los autores y de autorizar la version final de publicacion.</w:t>
      </w:r>
    </w:p>
    <w:p>
      <w:pPr>
        <w:spacing w:after="140"/>
        <w:ind w:left="864"/>
      </w:pPr>
      <w:r>
        <w:rPr>
          <w:rFonts w:ascii="Times New Roman" w:hAnsi="Times New Roman"/>
          <w:i/>
          <w:color w:val="444444"/>
          <w:sz w:val="20"/>
        </w:rPr>
        <w:t>D. Valdiviezo figura como autor de correspondencia. ATENCIÓN: esto obliga a D. Valdiviezo a haber recabado la aprobación escrita de N. Trelles ANTES de firmar.</w:t>
      </w:r>
    </w:p>
    <w:p>
      <w:pPr>
        <w:spacing w:after="40"/>
        <w:ind w:left="504" w:hanging="504"/>
      </w:pPr>
      <w:r>
        <w:rPr>
          <w:rFonts w:ascii="Times New Roman" w:hAnsi="Times New Roman"/>
          <w:b w:val="0"/>
          <w:i w:val="0"/>
          <w:sz w:val="21"/>
        </w:rPr>
        <w:t>6. El articulo contiene material original e inedito, el trabajo de terceros esta citado, y las citas textuales, parafrasis y referencias estan identificadas en el texto.</w:t>
      </w:r>
    </w:p>
    <w:p>
      <w:pPr>
        <w:spacing w:after="140"/>
        <w:ind w:left="864"/>
      </w:pPr>
      <w:r>
        <w:rPr>
          <w:rFonts w:ascii="Times New Roman" w:hAnsi="Times New Roman"/>
          <w:i/>
          <w:color w:val="444444"/>
          <w:sz w:val="20"/>
        </w:rPr>
        <w:t>20 referencias en Vancouver en la lista del manuscrito. Ver también la declaración «Uso de inteligencia artificial» del manuscrito, en Declaraciones, que no se retira: dice, entre otras cosas, que el modelo de lenguaje «redactó los borradores del manuscrito, de los anexos, de la carta de presentación y de los registros de decisión».</w:t>
      </w:r>
    </w:p>
    <w:p>
      <w:pPr>
        <w:spacing w:after="40"/>
        <w:ind w:left="504" w:hanging="504"/>
      </w:pPr>
      <w:r>
        <w:rPr>
          <w:rFonts w:ascii="Times New Roman" w:hAnsi="Times New Roman"/>
          <w:b w:val="0"/>
          <w:i w:val="0"/>
          <w:sz w:val="21"/>
        </w:rPr>
        <w:t>7. El articulo no ha sido publicado anteriormente ni esta sometido a publicacion en otra revista.</w:t>
      </w:r>
    </w:p>
    <w:p>
      <w:pPr>
        <w:spacing w:after="140"/>
        <w:ind w:left="864"/>
      </w:pPr>
      <w:r>
        <w:rPr>
          <w:rFonts w:ascii="Times New Roman" w:hAnsi="Times New Roman"/>
          <w:i/>
          <w:color w:val="444444"/>
          <w:sz w:val="20"/>
        </w:rPr>
        <w:t>Cierto. El manuscrito preparado para Clinical Microbiology and Infection nunca se envió; sigue en el repositorio sin someter.</w:t>
      </w:r>
    </w:p>
    <w:p>
      <w:pPr>
        <w:spacing w:after="40"/>
        <w:ind w:left="504" w:hanging="504"/>
      </w:pPr>
      <w:r>
        <w:rPr>
          <w:rFonts w:ascii="Times New Roman" w:hAnsi="Times New Roman"/>
          <w:b w:val="0"/>
          <w:i w:val="0"/>
          <w:sz w:val="21"/>
        </w:rPr>
        <w:t>8. Se aceptan las condiciones de la Revista JSR en cuanto a normas, procedimientos, formato, edicion grafica, correccion y otros requerimientos que se solicitan en la convocatoria.</w:t>
      </w:r>
    </w:p>
    <w:p>
      <w:pPr>
        <w:spacing w:after="140"/>
        <w:ind w:left="864"/>
      </w:pPr>
      <w:r>
        <w:rPr>
          <w:rFonts w:ascii="Times New Roman" w:hAnsi="Times New Roman"/>
          <w:i/>
          <w:color w:val="A03020"/>
          <w:sz w:val="20"/>
        </w:rPr>
        <w:t>OJO: hoy no se cumple 1: el cuerpo en 30 páginas del PDF maquetado antes de las referencias, con un límite de 25. El detalle, al final de esta hoja.</w:t>
      </w:r>
    </w:p>
    <w:p>
      <w:pPr>
        <w:spacing w:before="280" w:after="100"/>
      </w:pPr>
      <w:r>
        <w:rPr>
          <w:rFonts w:ascii="Times New Roman" w:hAnsi="Times New Roman"/>
          <w:b/>
          <w:i w:val="0"/>
          <w:sz w:val="26"/>
        </w:rPr>
        <w:t>El punto 8: las normas de formato</w:t>
      </w:r>
    </w:p>
    <w:p>
      <w:pPr>
        <w:jc w:val="both"/>
      </w:pPr>
      <w:r>
        <w:rPr>
          <w:rFonts w:ascii="Times New Roman" w:hAnsi="Times New Roman"/>
          <w:b w:val="0"/>
          <w:i w:val="0"/>
          <w:sz w:val="21"/>
        </w:rPr>
        <w:t xml:space="preserve">Firmar el punto 8 es aceptar las normas de formato de la revista, leídas en su web el 14 de septiembre de 2026. Las cinco que fallaban ese día se corrigieron entonces: márgenes de 2,54 a 3 cm, el espacio entre párrafos consecutivos a cero, las palabras clave en orden alfabético y con las keywords en ese mismo orden, el título en mayúscula sostenida a 18 pt, y el resalte del cuerpo pasado de negrita a cursiva. La negrita se conserva donde la norma la pide o la da por supuesta: los títulos, los encabezados de sección y de tabla, y la propia lista de palabras clave, que la directriz exige «en negrita y cursiva». Hoy </w:t>
      </w:r>
      <w:r>
        <w:rPr>
          <w:rFonts w:ascii="Times New Roman" w:hAnsi="Times New Roman"/>
          <w:b w:val="0"/>
          <w:i/>
          <w:sz w:val="21"/>
        </w:rPr>
        <w:t>no cumple 1</w:t>
      </w:r>
      <w:r>
        <w:rPr>
          <w:rFonts w:ascii="Times New Roman" w:hAnsi="Times New Roman"/>
          <w:b w:val="0"/>
          <w:i w:val="0"/>
          <w:sz w:val="21"/>
        </w:rPr>
        <w:t>:</w:t>
      </w:r>
    </w:p>
    <w:p>
      <w:pPr>
        <w:spacing w:after="60"/>
        <w:ind w:left="504" w:hanging="504"/>
      </w:pPr>
      <w:r>
        <w:rPr>
          <w:rFonts w:ascii="Times New Roman" w:hAnsi="Times New Roman"/>
          <w:b w:val="0"/>
          <w:i w:val="0"/>
          <w:sz w:val="21"/>
        </w:rPr>
        <w:t>• el cuerpo en 30 páginas del PDF maquetado antes de las referencias, con un límite de 25.</w:t>
      </w:r>
    </w:p>
    <w:p>
      <w:pPr>
        <w:spacing w:before="160"/>
      </w:pPr>
      <w:r>
        <w:rPr>
          <w:rFonts w:ascii="Times New Roman" w:hAnsi="Times New Roman"/>
          <w:b w:val="0"/>
          <w:i w:val="0"/>
          <w:sz w:val="21"/>
        </w:rPr>
        <w:t>Cumple en cambio: A4, márgenes de 3 cm, Times New Roman 12, una columna a interlineado 1,5, párrafos justificados y sin espacio entre consecutivos, las keywords en el mismo orden que las palabras clave, como pide la norma, decimales con coma, millares con espacio fino, título en mayúscula sostenida, negrita y 18 pt, resalte en cursiva y no en negrita, palabras clave en negrita y cursiva, como pide la directriz, figuras en PNG, además del PDF vectorial, título de 19 palabras, con un máximo de 20, resumen de 250 palabras, contadas como Word, con un máximo de 250, 5 palabras clave, entre 3 y 5, palabras clave en orden alfabético.</w:t>
      </w:r>
    </w:p>
    <w:p>
      <w:pPr>
        <w:spacing w:before="280" w:after="100"/>
      </w:pPr>
      <w:r>
        <w:rPr>
          <w:rFonts w:ascii="Times New Roman" w:hAnsi="Times New Roman"/>
          <w:b/>
          <w:i w:val="0"/>
          <w:sz w:val="26"/>
        </w:rPr>
        <w:t>Y lo que ninguna hoja resuelve</w:t>
      </w:r>
    </w:p>
    <w:p>
      <w:pPr>
        <w:jc w:val="both"/>
      </w:pPr>
      <w:r>
        <w:rPr>
          <w:rFonts w:ascii="Times New Roman" w:hAnsi="Times New Roman"/>
          <w:b w:val="0"/>
          <w:i w:val="0"/>
          <w:sz w:val="21"/>
        </w:rPr>
        <w:t xml:space="preserve">El punto 5 dice que el autor de correspondencia es </w:t>
      </w:r>
      <w:r>
        <w:rPr>
          <w:rFonts w:ascii="Times New Roman" w:hAnsi="Times New Roman"/>
          <w:b w:val="0"/>
          <w:i/>
          <w:sz w:val="21"/>
        </w:rPr>
        <w:t>responsable de autorizar la versión final</w:t>
      </w:r>
      <w:r>
        <w:rPr>
          <w:rFonts w:ascii="Times New Roman" w:hAnsi="Times New Roman"/>
          <w:b w:val="0"/>
          <w:i w:val="0"/>
          <w:sz w:val="21"/>
        </w:rPr>
        <w:t>. D. Valdiviezo no puede firmarlo de buena fe mientras N. Trelles no haya aprobado por escrito esta versión. Es el mismo criterio ICMJE que el manuscrito lleva pendiente, y aquí pasa de ser una buena práctica a ser una declaración firmada. Del mismo escrito depende el marcador ‹‹N. TRELLES: REVISIÓN Y EDICIÓN DEL MANUSCRITO, SOLO CUANDO CONSTE POR ESCRITO›› del CRediT de N. Trelles en el manuscrito: lo que nombra se añade solo si consta por escrito, y si no consta el marcador se borra sin añadirlo.</w:t>
      </w:r>
    </w:p>
    <w:p>
      <w:pPr>
        <w:jc w:val="both"/>
      </w:pPr>
      <w:r>
        <w:rPr>
          <w:rFonts w:ascii="Times New Roman" w:hAnsi="Times New Roman"/>
          <w:b w:val="0"/>
          <w:i w:val="0"/>
          <w:sz w:val="21"/>
        </w:rPr>
        <w:t>Del mismo escrito depende la frase de la declaración «Uso de inteligencia artificial»: «D.V. asume la responsabilidad por la exactitud e integridad del trabajo; la de N.T. queda pendiente de su aprobación escrita.» Cuando conste, se cambia en el maestro y se copia igual al manuscrito de la revista; mientras no conste, se queda como está.</w:t>
      </w:r>
    </w:p>
    <w:sectPr w:rsidR="00FC693F" w:rsidRPr="0006063C" w:rsidSect="00034616">
      <w:headerReference w:type="default" r:id="rId9"/>
      <w:pgSz w:w="11906" w:h="16838"/>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i/>
        <w:sz w:val="18"/>
      </w:rPr>
      <w:t>Hoja de datos — NO es la carta. La carta se descarga de la revista y se firma a mano.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