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295; texto principal 10 394.</w:t>
      </w:r>
    </w:p>
    <w:p>
      <w:pPr>
        <w:jc w:val="both"/>
      </w:pPr>
      <w:r>
        <w:rPr>
          <w:rFonts w:ascii="Times New Roman" w:hAnsi="Times New Roman"/>
          <w:b w:val="0"/>
          <w:i/>
          <w:sz w:val="22"/>
        </w:rPr>
        <w:t>Tablas:</w:t>
      </w:r>
      <w:r>
        <w:rPr>
          <w:rFonts w:ascii="Times New Roman" w:hAnsi="Times New Roman"/>
          <w:b w:val="0"/>
          <w:i w:val="0"/>
          <w:sz w:val="22"/>
        </w:rPr>
        <w:t xml:space="preserve"> 7.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anexos S0–S24 y S18b,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y </w:t>
      </w:r>
      <w:r>
        <w:rPr>
          <w:rFonts w:ascii="Times New Roman" w:hAnsi="Times New Roman"/>
          <w:b w:val="0"/>
          <w:i/>
          <w:sz w:val="22"/>
        </w:rPr>
        <w:t>118 salieron del corpus</w:t>
      </w:r>
      <w:r>
        <w:rPr>
          <w:rFonts w:ascii="Times New Roman" w:hAnsi="Times New Roman"/>
          <w:b w:val="0"/>
          <w:i w:val="0"/>
          <w:sz w:val="22"/>
        </w:rPr>
        <w:t xml:space="preserve">: 63 por no disponer del artículo completo —42 solo existían como ficha de registro— y 55 por los criterios (en 11 no pudieron verificarse)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65</w:t>
      </w:r>
      <w:r>
        <w:rPr>
          <w:rFonts w:ascii="Times New Roman" w:hAnsi="Times New Roman"/>
          <w:b w:val="0"/>
          <w:i w:val="0"/>
          <w:sz w:val="22"/>
        </w:rP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rFonts w:ascii="Times New Roman" w:hAnsi="Times New Roman"/>
          <w:b w:val="0"/>
          <w:i/>
          <w:sz w:val="22"/>
        </w:rPr>
        <w:t>P. aeruginosa</w:t>
      </w:r>
      <w:r>
        <w:rPr>
          <w:rFonts w:ascii="Times New Roman" w:hAnsi="Times New Roman"/>
          <w:b w:val="0"/>
          <w:i w:val="0"/>
          <w:sz w:val="22"/>
        </w:rPr>
        <w:t xml:space="preserve"> y el otro mide un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pPr>
        <w:jc w:val="both"/>
      </w:pPr>
      <w:r>
        <w:rPr>
          <w:rFonts w:ascii="Times New Roman" w:hAnsi="Times New Roman"/>
          <w:b w:val="0"/>
          <w:i w:val="0"/>
          <w:sz w:val="22"/>
        </w:rPr>
        <w:t>Según declara D.V. (8 de octubre de 2026), diseñó las ecuaciones con la participación del modelo de lenguaje cuya intervención se declara en la sección 2.4 y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acabaron usando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pero </w:t>
      </w:r>
      <w:r>
        <w:rPr>
          <w:rFonts w:ascii="Times New Roman" w:hAnsi="Times New Roman"/>
          <w:b w:val="0"/>
          <w:i/>
          <w:sz w:val="22"/>
        </w:rPr>
        <w:t>no estaba fijado antes de empezar</w:t>
      </w:r>
      <w:r>
        <w:rPr>
          <w:rFonts w:ascii="Times New Roman" w:hAnsi="Times New Roman"/>
          <w:b w:val="0"/>
          <w:i w:val="0"/>
          <w:sz w:val="22"/>
        </w:rP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se añadieron, a mitad de lote, dos reglas que concretan los criterios: las endolisinas aisladas quedan fuera por la intervención, y los informes veterinarios, por la población. Un motivo que no encaje en uno de los seis no recibe un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decisiones registro a registro de las etapas 2 y 3 las emitió un modelo de lenguaje (Claude Opus 5, Anthropic) como </w:t>
      </w:r>
      <w:r>
        <w:rPr>
          <w:rFonts w:ascii="Times New Roman" w:hAnsi="Times New Roman"/>
          <w:b w:val="0"/>
          <w:i/>
          <w:sz w:val="22"/>
        </w:rPr>
        <w:t>revisor único, sin duplicación</w:t>
      </w:r>
      <w:r>
        <w:rPr>
          <w:rFonts w:ascii="Times New Roman" w:hAnsi="Times New Roman"/>
          <w:b w:val="0"/>
          <w:i w:val="0"/>
          <w:sz w:val="22"/>
        </w:rP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sobre lo que el modelo admitió; sobre 350 excluidos, el lector del recribado (sección 2.5) coincidió con el modelo en 344 en la primera pasada y en los 350 tras contrastar los criterios. Contra el riesgo de falso negativo la revisión opone la auditoría de control positivo de la sección 2.5: se comprobó tras cada etapa de cribado que ninguno de los 40 estudios del conjunto de control comprobables por PMID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tuvo 21 variables de datos, las categóricas con vocabulario controlado; no consta un piloteo documentado. La extracción se hizo </w:t>
      </w:r>
      <w:r>
        <w:rPr>
          <w:rFonts w:ascii="Times New Roman" w:hAnsi="Times New Roman"/>
          <w:b w:val="0"/>
          <w:i/>
          <w:sz w:val="22"/>
        </w:rPr>
        <w:t>por duplicado</w:t>
      </w:r>
      <w:r>
        <w:rPr>
          <w:rFonts w:ascii="Times New Roman" w:hAnsi="Times New Roman"/>
          <w:b w:val="0"/>
          <w:i w:val="0"/>
          <w:sz w:val="22"/>
        </w:rP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pPr>
        <w:jc w:val="both"/>
      </w:pPr>
      <w:r>
        <w:rPr>
          <w:rFonts w:ascii="Times New Roman" w:hAnsi="Times New Roman"/>
          <w:b w:val="0"/>
          <w:i/>
          <w:sz w:val="22"/>
        </w:rPr>
        <w:t>Relectura dirigida tras la adjudicación.</w:t>
      </w:r>
      <w:r>
        <w:rPr>
          <w:rFonts w:ascii="Times New Roman" w:hAnsi="Times New Roman"/>
          <w:b w:val="0"/>
          <w:i w:val="0"/>
          <w:sz w:val="22"/>
        </w:rP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pPr>
        <w:jc w:val="both"/>
      </w:pPr>
      <w:r>
        <w:rPr>
          <w:rFonts w:ascii="Times New Roman" w:hAnsi="Times New Roman"/>
          <w:b w:val="0"/>
          <w:i w:val="0"/>
          <w:sz w:val="22"/>
        </w:rP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w:t>
      </w:r>
      <w:r>
        <w:rPr>
          <w:rFonts w:ascii="Times New Roman" w:hAnsi="Times New Roman"/>
          <w:b w:val="0"/>
          <w:i w:val="0"/>
          <w:sz w:val="22"/>
        </w:rPr>
        <w:t>: los 9 que el diseño adjudicado sobre el artículo identifica como comparativos, todos con texto completo, como el resto del corpus desde el criterio de la sección 2.9. Los ensayos aleatorizados con RoB 2 (10) y los no aleatorizados y las cohortes con ROBINS-I (11).</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Hubo dos cuadernos, uno a nombre de cada autor, pero su independencia no está acreditada.</w:t>
      </w:r>
      <w:r>
        <w:rPr>
          <w:rFonts w:ascii="Times New Roman" w:hAnsi="Times New Roman"/>
          <w:b w:val="0"/>
          <w:i w:val="0"/>
          <w:sz w:val="22"/>
        </w:rPr>
        <w:t xml:space="preserve"> La noche del 4 al 5 de septiembre de 2026 los dos traían todos los juicios idénticos y, vueltos a guardar con dos segundos de diferencia, seguían compartiendo 7 418 caracteres idénticos en las notas de apoyo; el registro de ese día concluye que un cuaderno salió del otro. La evaluación se declaró entonces por consenso: el canal generó un cuaderno con los juicios coincidentes precargados y los discrepantes en blanco, y los dos autores lo firmaron el 9 de septiembre de 2026. La concordancia entre los dos cuadernos se reporta en la sección 3.7, pero no mide dos evaluaciones independientes. Un estudio, incorporado a la evaluación después de los demás, tiene una sola lectura y se declara como tal.</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3.6 muestra que solo 2 de los 73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68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solo entran los estudios con el artículo completo.</w:t>
      </w:r>
      <w:r>
        <w:rPr>
          <w:rFonts w:ascii="Times New Roman" w:hAnsi="Times New Roman"/>
          <w:b w:val="0"/>
          <w:i w:val="0"/>
          <w:sz w:val="22"/>
        </w:rP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4 estudios</w:t>
      </w:r>
      <w:r>
        <w:rPr>
          <w:rFonts w:ascii="Times New Roman" w:hAnsi="Times New Roman"/>
          <w:b w:val="0"/>
          <w:i w:val="0"/>
          <w:sz w:val="22"/>
        </w:rPr>
        <w:t xml:space="preserve"> con el código NOREC y </w:t>
      </w:r>
      <w:r>
        <w:rPr>
          <w:rFonts w:ascii="Times New Roman" w:hAnsi="Times New Roman"/>
          <w:b w:val="0"/>
          <w:i/>
          <w:sz w:val="22"/>
        </w:rPr>
        <w:t>63</w:t>
      </w:r>
      <w:r>
        <w:rPr>
          <w:rFonts w:ascii="Times New Roman" w:hAnsi="Times New Roman"/>
          <w:b w:val="0"/>
          <w:i w:val="0"/>
          <w:sz w:val="22"/>
        </w:rP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rFonts w:ascii="Times New Roman" w:hAnsi="Times New Roman"/>
          <w:b w:val="0"/>
          <w:i/>
          <w:sz w:val="22"/>
        </w:rPr>
        <w:t>todo estudio sin el PDF del artículo completo con acceso</w:t>
      </w:r>
      <w:r>
        <w:rPr>
          <w:rFonts w:ascii="Times New Roman" w:hAnsi="Times New Roman"/>
          <w:b w:val="0"/>
          <w:i w:val="0"/>
          <w:sz w:val="22"/>
        </w:rPr>
        <w:t xml:space="preserve"> (código NOPDF): 21 estudios cuyo artículo no se obtuvo —3 de ellos solo existen como resumen de congreso— y 42 que solo existen como ficha de registro de ensayo. El corpus pasó de 128 a 65 estudios.</w:t>
      </w:r>
    </w:p>
    <w:p>
      <w:pPr>
        <w:jc w:val="both"/>
      </w:pPr>
      <w:r>
        <w:rPr>
          <w:rFonts w:ascii="Times New Roman" w:hAnsi="Times New Roman"/>
          <w:b w:val="0"/>
          <w:i w:val="0"/>
          <w:sz w:val="22"/>
        </w:rPr>
        <w:t xml:space="preserve">Hasta esa fecha esta misma sección desaconsejaba generalizar NOREC, y el motivo sigue en pie: con el criterio ampliado, la recuperación de texto completo del corpus es del 100 % </w:t>
      </w:r>
      <w:r>
        <w:rPr>
          <w:rFonts w:ascii="Times New Roman" w:hAnsi="Times New Roman"/>
          <w:b w:val="0"/>
          <w:i/>
          <w:sz w:val="22"/>
        </w:rPr>
        <w:t>por construcción</w:t>
      </w:r>
      <w:r>
        <w:rPr>
          <w:rFonts w:ascii="Times New Roman" w:hAnsi="Times New Roman"/>
          <w:b w:val="0"/>
          <w:i w:val="0"/>
          <w:sz w:val="22"/>
        </w:rPr>
        <w:t xml:space="preserve">, y el sesgo de recuperación que la sección 3.2 medía dentro del corpus deja de poder medirse ahí. Por eso se mide como </w:t>
      </w:r>
      <w:r>
        <w:rPr>
          <w:rFonts w:ascii="Times New Roman" w:hAnsi="Times New Roman"/>
          <w:b w:val="0"/>
          <w:i/>
          <w:sz w:val="22"/>
        </w:rPr>
        <w:t>efecto del criterio</w:t>
      </w:r>
      <w:r>
        <w:rPr>
          <w:rFonts w:ascii="Times New Roman" w:hAnsi="Times New Roman"/>
          <w:b w:val="0"/>
          <w:i w:val="0"/>
          <w:sz w:val="22"/>
        </w:rPr>
        <w:t xml:space="preserve"> (Tabla 3). Contando las dos fechas, el criterio deja fuera 67 estudios, y no son una muestra aleatoria: se lleva </w:t>
      </w:r>
      <w:r>
        <w:rPr>
          <w:rFonts w:ascii="Times New Roman" w:hAnsi="Times New Roman"/>
          <w:b w:val="0"/>
          <w:i/>
          <w:sz w:val="22"/>
        </w:rPr>
        <w:t>7 de los 9 diseños comparativos (77,8 %)</w:t>
      </w:r>
      <w:r>
        <w:rPr>
          <w:rFonts w:ascii="Times New Roman" w:hAnsi="Times New Roman"/>
          <w:b w:val="0"/>
          <w:i w:val="0"/>
          <w:sz w:val="22"/>
        </w:rPr>
        <w:t xml:space="preserve"> y 5 de los 7 ensayos aleatorizados. Los autores lo adoptaron conociendo ese efecto, y se declara aquí, con su fecha, en lugar de presentarse como si hubiera regido desde el principio.</w:t>
      </w:r>
    </w:p>
    <w:p>
      <w:pPr>
        <w:jc w:val="both"/>
      </w:pPr>
      <w:r>
        <w:rPr>
          <w:rFonts w:ascii="Times New Roman" w:hAnsi="Times New Roman"/>
          <w:b w:val="0"/>
          <w:i/>
          <w:sz w:val="22"/>
        </w:rPr>
        <w:t>Una tercera enmienda, menor: NOORG.</w:t>
      </w:r>
      <w:r>
        <w:rPr>
          <w:rFonts w:ascii="Times New Roman" w:hAnsi="Times New Roman"/>
          <w:b w:val="0"/>
          <w:i w:val="0"/>
          <w:sz w:val="22"/>
        </w:rPr>
        <w:t xml:space="preserve"> El 14 de septiembre de 2026 los dos autores firmaron un código nuevo para las fichas de registro que no declaran organismo alguno, de modo que el criterio de población no puede verificarse ni a favor ni en contra; excluyó 7 estudios (sección 3.1.1). Como NOREC, se refiere a lo que puede verificarse y no a lo que el estudio dice. Los códigos PRO e INT, añadidos el 1 de septiembre de 2026, no cambian los criterios —la sección 2.2 ya exigía pacientes tratados con bacteriófagos— y solo dan nombre a motivos que el vocabulario original no tenía.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De ellos, </w:t>
      </w:r>
      <w:r>
        <w:rPr>
          <w:rFonts w:ascii="Times New Roman" w:hAnsi="Times New Roman"/>
          <w:b w:val="0"/>
          <w:i/>
          <w:sz w:val="22"/>
        </w:rPr>
        <w:t>118 salieron del corpus</w:t>
      </w:r>
      <w:r>
        <w:rPr>
          <w:rFonts w:ascii="Times New Roman" w:hAnsi="Times New Roman"/>
          <w:b w:val="0"/>
          <w:i w:val="0"/>
          <w:sz w:val="22"/>
        </w:rPr>
        <w:t xml:space="preserve">: 63 por no disponer del PDF del artículo completo (sección 2.9) y 55 por los criterios de elegibilidad: 44 por incumplirlos, comprobado sobre el artículo o sobre la ficha del registro, y 11 porque no pudieron verificarse; el apartado siguiente los detalla. El cuerpo de evidencia queda en </w:t>
      </w:r>
      <w:r>
        <w:rPr>
          <w:rFonts w:ascii="Times New Roman" w:hAnsi="Times New Roman"/>
          <w:b w:val="0"/>
          <w:i/>
          <w:sz w:val="22"/>
        </w:rPr>
        <w:t>65 estudios</w:t>
      </w:r>
      <w:r>
        <w:rPr>
          <w:rFonts w:ascii="Times New Roman" w:hAnsi="Times New Roman"/>
          <w:b w:val="0"/>
          <w:i w:val="0"/>
          <w:sz w:val="22"/>
        </w:rP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spacing w:before="200" w:after="100"/>
      </w:pPr>
      <w:r>
        <w:rPr>
          <w:rFonts w:ascii="Times New Roman" w:hAnsi="Times New Roman"/>
          <w:b/>
          <w:i w:val="0"/>
          <w:sz w:val="22"/>
        </w:rPr>
        <w:t>3.1.1 Los 118 estudios que el cribado admitió y que salieron después</w:t>
      </w:r>
    </w:p>
    <w:p>
      <w:pPr>
        <w:jc w:val="both"/>
      </w:pPr>
      <w:r>
        <w:rPr>
          <w:rFonts w:ascii="Times New Roman" w:hAnsi="Times New Roman"/>
          <w:b w:val="0"/>
          <w:i/>
          <w:sz w:val="22"/>
        </w:rPr>
        <w:t>Sesenta y tres salieron por no disponer del artículo completo</w:t>
      </w:r>
      <w:r>
        <w:rPr>
          <w:rFonts w:ascii="Times New Roman" w:hAnsi="Times New Roman"/>
          <w:b w:val="0"/>
          <w:i w:val="0"/>
          <w:sz w:val="22"/>
        </w:rP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los criterios: 44 por incumplirlos y 11 porque no pudieron verificarse (NOREC y NOORG).</w:t>
      </w:r>
    </w:p>
    <w:p>
      <w:pPr>
        <w:jc w:val="both"/>
      </w:pPr>
      <w:r>
        <w:rPr>
          <w:rFonts w:ascii="Times New Roman" w:hAnsi="Times New Roman"/>
          <w:b w:val="0"/>
          <w:i/>
          <w:sz w:val="22"/>
        </w:rPr>
        <w:t>Treinta y ocho salieron sobre su publicación o por no poder leerla.</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Treinta</w:t>
      </w:r>
      <w:r>
        <w:rPr>
          <w:rFonts w:ascii="Times New Roman" w:hAnsi="Times New Roman"/>
          <w:b w:val="0"/>
          <w:i w:val="0"/>
          <w:sz w:val="22"/>
        </w:rPr>
        <w:t xml:space="preserve"> salieron al juzgar su artículo, leyéndolo en todos los casos salvo un editorial, juzgado por su indexación. </w:t>
      </w:r>
      <w:r>
        <w:rPr>
          <w:rFonts w:ascii="Times New Roman" w:hAnsi="Times New Roman"/>
          <w:b w:val="0"/>
          <w:i/>
          <w:sz w:val="22"/>
        </w:rPr>
        <w:t>Dieciséis</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pPr>
        <w:jc w:val="both"/>
      </w:pPr>
      <w:r>
        <w:rPr>
          <w:rFonts w:ascii="Times New Roman" w:hAnsi="Times New Roman"/>
          <w:b w:val="0"/>
          <w:i/>
          <w:sz w:val="22"/>
        </w:rPr>
        <w:t>Cuatro más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sz w:val="22"/>
        </w:rPr>
        <w:t>Cuatro</w:t>
      </w:r>
      <w:r>
        <w:rPr>
          <w:rFonts w:ascii="Times New Roman" w:hAnsi="Times New Roman"/>
          <w:b w:val="0"/>
          <w:i w:val="0"/>
          <w:sz w:val="22"/>
        </w:rPr>
        <w:t xml:space="preserve"> salieron, por último, por </w:t>
      </w:r>
      <w:r>
        <w:rPr>
          <w:rFonts w:ascii="Times New Roman" w:hAnsi="Times New Roman"/>
          <w:b w:val="0"/>
          <w:i/>
          <w:sz w:val="22"/>
        </w:rPr>
        <w:t>NOREC</w:t>
      </w:r>
      <w:r>
        <w:rPr>
          <w:rFonts w:ascii="Times New Roman" w:hAnsi="Times New Roman"/>
          <w:b w:val="0"/>
          <w:i w:val="0"/>
          <w:sz w:val="22"/>
        </w:rP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rFonts w:ascii="Times New Roman" w:hAnsi="Times New Roman"/>
          <w:b w:val="0"/>
          <w:i/>
          <w:sz w:val="22"/>
        </w:rPr>
        <w:t>30,1 %</w:t>
      </w:r>
      <w:r>
        <w:rPr>
          <w:rFonts w:ascii="Times New Roman" w:hAnsi="Times New Roman"/>
          <w:b w:val="0"/>
          <w:i w:val="0"/>
          <w:sz w:val="22"/>
        </w:rPr>
        <w:t xml:space="preserve"> de los 93 estudios cuyo texto completo se pudo leer. Es un suelo, no un total: los 63 que salieron por no disponer del artículo nunca se comprobaron contra él.</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38 anteriores tienen publicación; estos no tienen ninguna.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el modelo descargó la ficha completa de cada una de ClinicalTrials.gov y del registro europeo CTIS, las leyó una por una y propuso, con su frase, un veredicto para cada una, que firmaron los dos autores.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superaron el criterio de población; como ninguna tiene artículo publicado, salieron después por el criterio del texto completo (sección 2.9).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Los 65 estudios del corpus tienen todos su artículo completo. Antes del criterio del texto completo, </w:t>
      </w:r>
      <w:r>
        <w:rPr>
          <w:rFonts w:ascii="Times New Roman" w:hAnsi="Times New Roman"/>
          <w:b w:val="0"/>
          <w:i/>
          <w:sz w:val="22"/>
        </w:rPr>
        <w:t>42 de los 128 estudios eran únicamente fichas de registro de ensayo</w:t>
      </w:r>
      <w:r>
        <w:rPr>
          <w:rFonts w:ascii="Times New Roman" w:hAnsi="Times New Roman"/>
          <w:b w:val="0"/>
          <w:i w:val="0"/>
          <w:sz w:val="22"/>
        </w:rPr>
        <w:t>, sin publicación asociada localizable. Esa cifra, que el criterio saca del corpus pero no del campo, basta por sí sola para describir una literatura en la que casi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Los 65 estudios del corpus tienen su texto completo, obtenido por vías de acceso abierto legítimas. Desde el criterio de la sección 2.9 esa es la condición de entrada, de modo que la tasa del </w:t>
      </w:r>
      <w:r>
        <w:rPr>
          <w:rFonts w:ascii="Times New Roman" w:hAnsi="Times New Roman"/>
          <w:b w:val="0"/>
          <w:i/>
          <w:sz w:val="22"/>
        </w:rPr>
        <w:t>100,0 %</w:t>
      </w:r>
      <w:r>
        <w:rPr>
          <w:rFonts w:ascii="Times New Roman" w:hAnsi="Times New Roman"/>
          <w:b w:val="0"/>
          <w:i w:val="0"/>
          <w:sz w:val="22"/>
        </w:rPr>
        <w:t xml:space="preserve"> no mide la recuperación, sino el criterio. La recuperación se mide justo antes de él: el texto se había obtenido para </w:t>
      </w:r>
      <w:r>
        <w:rPr>
          <w:rFonts w:ascii="Times New Roman" w:hAnsi="Times New Roman"/>
          <w:b w:val="0"/>
          <w:i/>
          <w:sz w:val="22"/>
        </w:rPr>
        <w:t>65 de los 86 estudios con artículo o resumen (75,6 %)</w:t>
      </w:r>
      <w:r>
        <w:rPr>
          <w:rFonts w:ascii="Times New Roman" w:hAnsi="Times New Roman"/>
          <w:b w:val="0"/>
          <w:i w:val="0"/>
          <w:sz w:val="22"/>
        </w:rP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pPr>
        <w:jc w:val="both"/>
      </w:pPr>
      <w:r>
        <w:rPr>
          <w:rFonts w:ascii="Times New Roman" w:hAnsi="Times New Roman"/>
          <w:b w:val="0"/>
          <w:i w:val="0"/>
          <w:sz w:val="22"/>
        </w:rPr>
        <w:t xml:space="preserve">La fracción no obtenida </w:t>
      </w:r>
      <w:r>
        <w:rPr>
          <w:rFonts w:ascii="Times New Roman" w:hAnsi="Times New Roman"/>
          <w:b w:val="0"/>
          <w:i/>
          <w:sz w:val="22"/>
        </w:rPr>
        <w:t>no era una muestra aleatoria del conjunto</w:t>
      </w:r>
      <w:r>
        <w:rPr>
          <w:rFonts w:ascii="Times New Roman" w:hAnsi="Times New Roman"/>
          <w:b w:val="0"/>
          <w:i w:val="0"/>
          <w:sz w:val="22"/>
        </w:rPr>
        <w:t xml:space="preserve"> (Tabla 3), y el criterio que la excluye tampoco lo es. Contando los 4 estudios de NOREC, los estudios que el criterio deja fuera contienen 7 de los 9 diseños comparativos, el </w:t>
      </w:r>
      <w:r>
        <w:rPr>
          <w:rFonts w:ascii="Times New Roman" w:hAnsi="Times New Roman"/>
          <w:b w:val="0"/>
          <w:i/>
          <w:sz w:val="22"/>
        </w:rPr>
        <w:t>77,8 %</w:t>
      </w:r>
      <w:r>
        <w:rPr>
          <w:rFonts w:ascii="Times New Roman" w:hAnsi="Times New Roman"/>
          <w:b w:val="0"/>
          <w:i w:val="0"/>
          <w:sz w:val="22"/>
        </w:rPr>
        <w:t>, aunque declaran menos pacientes en total. De los 7 ensayos aleatorizados identificados con artículo o resumen, el corpus conserva 2 —PhagoBurn (17) y BX004-A (18)—, y los otros 5 salieron por el criterio, entre ellos el de TP-102 (19).</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65 estudios del corpus se publicaron entre </w:t>
      </w:r>
      <w:r>
        <w:rPr>
          <w:rFonts w:ascii="Times New Roman" w:hAnsi="Times New Roman"/>
          <w:b w:val="0"/>
          <w:i/>
          <w:sz w:val="22"/>
        </w:rPr>
        <w:t>2017 y 2026</w:t>
      </w:r>
      <w:r>
        <w:rPr>
          <w:rFonts w:ascii="Times New Roman" w:hAnsi="Times New Roman"/>
          <w:b w:val="0"/>
          <w:i w:val="0"/>
          <w:sz w:val="22"/>
        </w:rPr>
        <w:t xml:space="preserve">, y el </w:t>
      </w:r>
      <w:r>
        <w:rPr>
          <w:rFonts w:ascii="Times New Roman" w:hAnsi="Times New Roman"/>
          <w:b w:val="0"/>
          <w:i/>
          <w:sz w:val="22"/>
        </w:rPr>
        <w:t>86,2 %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34 reportes de caso único (52,3 %)</w:t>
      </w:r>
      <w:r>
        <w:rPr>
          <w:rFonts w:ascii="Times New Roman" w:hAnsi="Times New Roman"/>
          <w:b w:val="0"/>
          <w:i w:val="0"/>
          <w:sz w:val="22"/>
        </w:rPr>
        <w:t xml:space="preserve">, 16 series de casos, 7 cohortes prospectivas, 2 ensayos aleatorizados, 0 ensayos no aleatorizados y 3 cohortes retrospectivas. Otros 3 no declaran su diseño de forma reconocible en el resumen. Los comparativos suman </w:t>
      </w:r>
      <w:r>
        <w:rPr>
          <w:rFonts w:ascii="Times New Roman" w:hAnsi="Times New Roman"/>
          <w:b w:val="0"/>
          <w:i/>
          <w:sz w:val="22"/>
        </w:rPr>
        <w:t>2 estudios, el 3,1 %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70,8 %</w:t>
      </w:r>
      <w:r>
        <w:rPr>
          <w:rFonts w:ascii="Times New Roman" w:hAnsi="Times New Roman"/>
          <w:b w:val="0"/>
          <w:i w:val="0"/>
          <w:sz w:val="22"/>
        </w:rP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49,2 %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26,2 %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96,9 %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8 de los 73 brazos la clase queda por debajo del umbral de multirresistencia</w:t>
      </w:r>
      <w:r>
        <w:rPr>
          <w:rFonts w:ascii="Times New Roman" w:hAnsi="Times New Roman"/>
          <w:b w:val="0"/>
          <w:i w:val="0"/>
          <w:sz w:val="22"/>
        </w:rP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pPr>
        <w:jc w:val="both"/>
      </w:pPr>
      <w:r>
        <w:rPr>
          <w:rFonts w:ascii="Times New Roman" w:hAnsi="Times New Roman"/>
          <w:b w:val="0"/>
          <w:i/>
          <w:sz w:val="22"/>
        </w:rPr>
        <w:t>La clase se comprobó después contra el artículo.</w:t>
      </w:r>
      <w:r>
        <w:rPr>
          <w:rFonts w:ascii="Times New Roman" w:hAnsi="Times New Roman"/>
          <w:b w:val="0"/>
          <w:i w:val="0"/>
          <w:sz w:val="22"/>
        </w:rP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rFonts w:ascii="Times New Roman" w:hAnsi="Times New Roman"/>
          <w:b w:val="0"/>
          <w:i/>
          <w:sz w:val="22"/>
        </w:rPr>
        <w:t>P. aeruginosa</w:t>
      </w:r>
      <w:r>
        <w:rPr>
          <w:rFonts w:ascii="Times New Roman" w:hAnsi="Times New Roman"/>
          <w:b w:val="0"/>
          <w:i w:val="0"/>
          <w:sz w:val="22"/>
        </w:rPr>
        <w:t xml:space="preserve"> tratado con fagos. Los dos autores excluyeron 5 con el código ORG (EST-009, EST-055, EST-132, EST-181 y EST-208; sección 3.1.1) y mantuvieron 4, que se declaran aquí con lo que el artículo dice: en EST-152 y EST-170 la única mención de </w:t>
      </w:r>
      <w:r>
        <w:rPr>
          <w:rFonts w:ascii="Times New Roman" w:hAnsi="Times New Roman"/>
          <w:b w:val="0"/>
          <w:i/>
          <w:sz w:val="22"/>
        </w:rPr>
        <w:t>P. aeruginosa</w:t>
      </w:r>
      <w:r>
        <w:rPr>
          <w:rFonts w:ascii="Times New Roman" w:hAnsi="Times New Roman"/>
          <w:b w:val="0"/>
          <w:i w:val="0"/>
          <w:sz w:val="22"/>
        </w:rPr>
        <w:t xml:space="preserve"> es la descripción del paciente de otro estudio del corpus (EST-049 y EST-106), y en EST-129 y EST-135 el paciente tuvo </w:t>
      </w:r>
      <w:r>
        <w:rPr>
          <w:rFonts w:ascii="Times New Roman" w:hAnsi="Times New Roman"/>
          <w:b w:val="0"/>
          <w:i/>
          <w:sz w:val="22"/>
        </w:rPr>
        <w:t>P. aeruginosa</w:t>
      </w:r>
      <w:r>
        <w:rPr>
          <w:rFonts w:ascii="Times New Roman" w:hAnsi="Times New Roman"/>
          <w:b w:val="0"/>
          <w:i w:val="0"/>
          <w:sz w:val="22"/>
        </w:rPr>
        <w:t xml:space="preserve">, pero el fago no se dirigió contra ella. Lo mismo ocurre en EST-051, que también se mantiene. En EST-096, que se mantiene por la misma decisión, la paciente 10 sí recibió un fago contra </w:t>
      </w:r>
      <w:r>
        <w:rPr>
          <w:rFonts w:ascii="Times New Roman" w:hAnsi="Times New Roman"/>
          <w:b w:val="0"/>
          <w:i/>
          <w:sz w:val="22"/>
        </w:rPr>
        <w:t>P. aeruginosa</w:t>
      </w:r>
      <w:r>
        <w:rPr>
          <w:rFonts w:ascii="Times New Roman" w:hAnsi="Times New Roman"/>
          <w:b w:val="0"/>
          <w:i w:val="0"/>
          <w:sz w:val="22"/>
        </w:rP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rFonts w:ascii="Times New Roman" w:hAnsi="Times New Roman"/>
          <w:b w:val="0"/>
          <w:i/>
          <w:sz w:val="22"/>
        </w:rPr>
        <w:t>P. aeruginosa</w:t>
      </w:r>
      <w:r>
        <w:rPr>
          <w:rFonts w:ascii="Times New Roman" w:hAnsi="Times New Roman"/>
          <w:b w:val="0"/>
          <w:i w:val="0"/>
          <w:sz w:val="22"/>
        </w:rP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73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87,7 % es, sin embargo, engañoso si se lee como disponibilidad para agregar. </w:t>
      </w:r>
      <w:r>
        <w:rPr>
          <w:rFonts w:ascii="Times New Roman" w:hAnsi="Times New Roman"/>
          <w:b w:val="0"/>
          <w:i/>
          <w:sz w:val="22"/>
        </w:rPr>
        <w:t>En 43 de los 73 brazos (58,9 %) no consta una definición operativa de éxito clínico</w:t>
      </w:r>
      <w:r>
        <w:rPr>
          <w:rFonts w:ascii="Times New Roman" w:hAnsi="Times New Roman"/>
          <w:b w:val="0"/>
          <w:i w:val="0"/>
          <w:sz w:val="22"/>
        </w:rP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pPr>
        <w:jc w:val="both"/>
      </w:pPr>
      <w:r>
        <w:rPr>
          <w:rFonts w:ascii="Times New Roman" w:hAnsi="Times New Roman"/>
          <w:b w:val="0"/>
          <w:i w:val="0"/>
          <w:sz w:val="22"/>
        </w:rPr>
        <w:t xml:space="preserve">El diseño consta en los 73 brazos: </w:t>
      </w:r>
      <w:r>
        <w:rPr>
          <w:rFonts w:ascii="Times New Roman" w:hAnsi="Times New Roman"/>
          <w:b w:val="0"/>
          <w:i/>
          <w:sz w:val="22"/>
        </w:rPr>
        <w:t>4 brazos son ensayos</w:t>
      </w:r>
      <w:r>
        <w:rPr>
          <w:rFonts w:ascii="Times New Roman" w:hAnsi="Times New Roman"/>
          <w:b w:val="0"/>
          <w:i w:val="0"/>
          <w:sz w:val="22"/>
        </w:rPr>
        <w:t xml:space="preserve"> (aleatorizados o no) y </w:t>
      </w:r>
      <w:r>
        <w:rPr>
          <w:rFonts w:ascii="Times New Roman" w:hAnsi="Times New Roman"/>
          <w:b w:val="0"/>
          <w:i/>
          <w:sz w:val="22"/>
        </w:rPr>
        <w:t>8 son cohortes</w:t>
      </w:r>
      <w:r>
        <w:rPr>
          <w:rFonts w:ascii="Times New Roman" w:hAnsi="Times New Roman"/>
          <w:b w:val="0"/>
          <w:i w:val="0"/>
          <w:sz w:val="22"/>
        </w:rP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73</w:t>
      </w:r>
      <w:r>
        <w:rPr>
          <w:rFonts w:ascii="Times New Roman" w:hAnsi="Times New Roman"/>
          <w:b w:val="0"/>
          <w:i w:val="0"/>
          <w:sz w:val="22"/>
        </w:rPr>
        <w:t>. Los dos siguientes son los criterios de elegibilidad que esta misma revisión declara en la sección 2.2, y solo uno de esos 2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73 brazos de esta literatura, </w:t>
      </w:r>
      <w:r>
        <w:rPr>
          <w:rFonts w:ascii="Times New Roman" w:hAnsi="Times New Roman"/>
          <w:b w:val="0"/>
          <w:i/>
          <w:sz w:val="22"/>
        </w:rPr>
        <w:t>ninguno reúne a la vez las condiciones aritméticas, los criterios de elegibilidad y la métrica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 los artículos del corpus,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Los 2 ensayos aleatorizados del corpus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efecto del criterio del texto completo documentado en la sección 3.2: 7 de los 9 diseños comparativos que el corpus habría podido aportar a una síntesis quedaron fuera de él.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ninguno hacia el del otro revisor. El estudio restante se evaluó en un cuaderno aparte y tiene una sola lectura.</w:t>
      </w:r>
    </w:p>
    <w:p>
      <w:pPr>
        <w:jc w:val="both"/>
      </w:pPr>
      <w:r>
        <w:rPr>
          <w:rFonts w:ascii="Times New Roman" w:hAnsi="Times New Roman"/>
          <w:b w:val="0"/>
          <w:i w:val="0"/>
          <w:sz w:val="22"/>
        </w:rP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rFonts w:ascii="Times New Roman" w:hAnsi="Times New Roman"/>
          <w:b w:val="0"/>
          <w:i/>
          <w:sz w:val="22"/>
        </w:rPr>
        <w:t>P. aeruginosa</w:t>
      </w:r>
      <w:r>
        <w:rPr>
          <w:rFonts w:ascii="Times New Roman" w:hAnsi="Times New Roman"/>
          <w:b w:val="0"/>
          <w:i w:val="0"/>
          <w:sz w:val="22"/>
        </w:rPr>
        <w:t xml:space="preserve"> (EST-008 y EST-021; el de EST-008, parcial).</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ocho y todas materiales. </w:t>
      </w:r>
      <w:r>
        <w:rPr>
          <w:rFonts w:ascii="Times New Roman" w:hAnsi="Times New Roman"/>
          <w:b w:val="0"/>
          <w:i/>
          <w:sz w:val="22"/>
        </w:rPr>
        <w:t>Primera:</w:t>
      </w:r>
      <w:r>
        <w:rPr>
          <w:rFonts w:ascii="Times New Roman" w:hAnsi="Times New Roman"/>
          <w:b w:val="0"/>
          <w:i w:val="0"/>
          <w:sz w:val="22"/>
        </w:rP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sobre lo que el modelo admitió. La auditoría de control positivo y el recribado acotan los falsos negativos sin descartarlos: sobre el marco de 13 661 excluidos, el recribado admite hasta 143 registros perdidos. </w:t>
      </w:r>
      <w:r>
        <w:rPr>
          <w:rFonts w:ascii="Times New Roman" w:hAnsi="Times New Roman"/>
          <w:b w:val="0"/>
          <w:i/>
          <w:sz w:val="22"/>
        </w:rPr>
        <w:t>Segunda:</w:t>
      </w:r>
      <w:r>
        <w:rPr>
          <w:rFonts w:ascii="Times New Roman" w:hAnsi="Times New Roman"/>
          <w:b w:val="0"/>
          <w:i w:val="0"/>
          <w:sz w:val="22"/>
        </w:rP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rFonts w:ascii="Times New Roman" w:hAnsi="Times New Roman"/>
          <w:b w:val="0"/>
          <w:i/>
          <w:sz w:val="22"/>
        </w:rPr>
        <w:t>Tercera: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Cuarta: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Quinta: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rFonts w:ascii="Times New Roman" w:hAnsi="Times New Roman"/>
          <w:b w:val="0"/>
          <w:i/>
          <w:sz w:val="22"/>
        </w:rPr>
        <w:t>Sexta:</w:t>
      </w:r>
      <w:r>
        <w:rPr>
          <w:rFonts w:ascii="Times New Roman" w:hAnsi="Times New Roman"/>
          <w:b w:val="0"/>
          <w:i w:val="0"/>
          <w:sz w:val="22"/>
        </w:rP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rFonts w:ascii="Times New Roman" w:hAnsi="Times New Roman"/>
          <w:b w:val="0"/>
          <w:i/>
          <w:sz w:val="22"/>
        </w:rPr>
        <w:t>Séptima:</w:t>
      </w:r>
      <w:r>
        <w:rPr>
          <w:rFonts w:ascii="Times New Roman" w:hAnsi="Times New Roman"/>
          <w:b w:val="0"/>
          <w:i w:val="0"/>
          <w:sz w:val="22"/>
        </w:rPr>
        <w:t xml:space="preserve"> la restricción a inglés y español se adoptó con el cribado ya terminado y eliminó 35 estudios en el cribado de resúmenes, 18 de ellos comparativos y uno del conjunto de control positivo, y 4 más al leer el texto completo; otros 3 salieron porque su idioma no pudo verificarse; empuja el corpus en la misma dirección que el sesgo de recuperación y reduce lo que esta revisión puede decir sobre la literatura de Europa del Este. </w:t>
      </w:r>
      <w:r>
        <w:rPr>
          <w:rFonts w:ascii="Times New Roman" w:hAnsi="Times New Roman"/>
          <w:b w:val="0"/>
          <w:i/>
          <w:sz w:val="22"/>
        </w:rPr>
        <w:t>Octava:</w:t>
      </w:r>
      <w:r>
        <w:rPr>
          <w:rFonts w:ascii="Times New Roman" w:hAnsi="Times New Roman"/>
          <w:b w:val="0"/>
          <w:i w:val="0"/>
          <w:sz w:val="22"/>
        </w:rPr>
        <w:t xml:space="preserve"> el corpus cuenta informes y estudios, no pacientes distintos, y contiene </w:t>
      </w:r>
      <w:r>
        <w:rPr>
          <w:rFonts w:ascii="Times New Roman" w:hAnsi="Times New Roman"/>
          <w:b w:val="0"/>
          <w:i/>
          <w:sz w:val="22"/>
        </w:rPr>
        <w:t>20 pacientes descritos en más de un estudio</w:t>
      </w:r>
      <w:r>
        <w:rPr>
          <w:rFonts w:ascii="Times New Roman" w:hAnsi="Times New Roman"/>
          <w:b w:val="0"/>
          <w:i w:val="0"/>
          <w:sz w:val="22"/>
        </w:rP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rFonts w:ascii="Times New Roman" w:hAnsi="Times New Roman"/>
          <w:b w:val="0"/>
          <w:i/>
          <w:sz w:val="22"/>
        </w:rPr>
        <w:t>7 son estudios de este corpus</w:t>
      </w:r>
      <w:r>
        <w:rPr>
          <w:rFonts w:ascii="Times New Roman" w:hAnsi="Times New Roman"/>
          <w:b w:val="0"/>
          <w:i w:val="0"/>
          <w:sz w:val="22"/>
        </w:rP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8 los encontró la lectura del modelo del 22 de septiembre de 2026 y 7 la relectura de los autores del 30 de septiembre. 19 se confirmaron, 11 se descartaron y </w:t>
      </w:r>
      <w:r>
        <w:rPr>
          <w:rFonts w:ascii="Times New Roman" w:hAnsi="Times New Roman"/>
          <w:b w:val="0"/>
          <w:i/>
          <w:sz w:val="22"/>
        </w:rPr>
        <w:t>ninguno queda sin leer</w:t>
      </w:r>
      <w:r>
        <w:rPr>
          <w:rFonts w:ascii="Times New Roman" w:hAnsi="Times New Roman"/>
          <w:b w:val="0"/>
          <w:i w:val="0"/>
          <w:sz w:val="22"/>
        </w:rPr>
        <w:t>; el veredicto de cada par lleva la frase en que se apoya y la firma de los dos autores (anexo S21). Como la revisión no publica ninguna estimación agrupada, la duplicación no altera ninguna cifra de efecto, pero impide leer el corpus como 65 conjuntos disjuntos de pacientes.</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(según declara D.V., diseño de las búsquedas con la participación del modelo de lenguaje y su ejecución en cada interfaz con la guía del modelo; extracción de datos; riesgo de sesgo), dirección del software, la curación de datos, el análisis y la visualización, que programó y ejecutó el modelo de lenguaje, revisión de los borradores, que redactó el modelo, y administración del proyecto. </w:t>
      </w:r>
      <w:r>
        <w:rPr>
          <w:rFonts w:ascii="Times New Roman" w:hAnsi="Times New Roman"/>
          <w:b w:val="0"/>
          <w:i/>
          <w:sz w:val="22"/>
        </w:rPr>
        <w:t>N. Trelles:</w:t>
      </w:r>
      <w:r>
        <w:rPr>
          <w:rFonts w:ascii="Times New Roman" w:hAnsi="Times New Roman"/>
          <w:b w:val="0"/>
          <w:i w:val="0"/>
          <w:sz w:val="22"/>
        </w:rP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Un modelo de lenguaje generativo (Claude Opus 5, Anthropic) intervino en todas las fases de esta revisión. </w:t>
      </w:r>
      <w:r>
        <w:rPr>
          <w:rFonts w:ascii="Times New Roman" w:hAnsi="Times New Roman"/>
          <w:b w:val="0"/>
          <w:i/>
          <w:sz w:val="22"/>
        </w:rPr>
        <w:t>Criterios.</w:t>
      </w:r>
      <w:r>
        <w:rPr>
          <w:rFonts w:ascii="Times New Roman" w:hAnsi="Times New Roman"/>
          <w:b w:val="0"/>
          <w:i w:val="0"/>
          <w:sz w:val="22"/>
        </w:rPr>
        <w:t xml:space="preserve"> Redactó las propuestas de criterios y de reglas que decidieron los autores: entre ellas, la unidad de inclusión por estudio y la elegibilidad de los resúmenes de congreso (5 de agosto de 2026), los códigos de exclusión añadidos después del cribado (PRO, INT y NOORG) y las reglas de desenlace, que según declara D.V. decidieron los dos autores, aunque el registro del 12 de agosto de 2026 las dejó como propuesta sin ratificar; y las dos reglas añadidas a mitad de lote el 4 de agosto, que incorporó a sus guiones de cribado. </w:t>
      </w:r>
      <w:r>
        <w:rPr>
          <w:rFonts w:ascii="Times New Roman" w:hAnsi="Times New Roman"/>
          <w:b w:val="0"/>
          <w:i/>
          <w:sz w:val="22"/>
        </w:rPr>
        <w:t>Cribado.</w:t>
      </w:r>
      <w:r>
        <w:rPr>
          <w:rFonts w:ascii="Times New Roman" w:hAnsi="Times New Roman"/>
          <w:b w:val="0"/>
          <w:i w:val="0"/>
          <w:sz w:val="22"/>
        </w:rP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rFonts w:ascii="Times New Roman" w:hAnsi="Times New Roman"/>
          <w:b w:val="0"/>
          <w:i/>
          <w:sz w:val="22"/>
        </w:rPr>
        <w:t>Búsqueda.</w:t>
      </w:r>
      <w:r>
        <w:rPr>
          <w:rFonts w:ascii="Times New Roman" w:hAnsi="Times New Roman"/>
          <w:b w:val="0"/>
          <w:i w:val="0"/>
          <w:sz w:val="22"/>
        </w:rPr>
        <w:t xml:space="preserve"> Participó en el diseño de las ecuaciones, que según declara D.V. ejecutó D.V. en cada interfaz con la guía del modelo; redactó los mensajes de los commits del 3 de agosto de 2026, que narran esa ejecución en primera persona, y descargó por API los registros de PubMed y ClinicalTrials.gov. </w:t>
      </w:r>
      <w:r>
        <w:rPr>
          <w:rFonts w:ascii="Times New Roman" w:hAnsi="Times New Roman"/>
          <w:b w:val="0"/>
          <w:i/>
          <w:sz w:val="22"/>
        </w:rPr>
        <w:t>Selección y extracción.</w:t>
      </w:r>
      <w:r>
        <w:rPr>
          <w:rFonts w:ascii="Times New Roman" w:hAnsi="Times New Roman"/>
          <w:b w:val="0"/>
          <w:i w:val="0"/>
          <w:sz w:val="22"/>
        </w:rPr>
        <w:t xml:space="preserve"> Localizó y descargó textos completos, también con un navegador; propuso la agrupación de los informes en estudios; leyó los textos completos y las fichas de registro y propuso, con su cita, las exclusiones que se apoyan en ellos, que firmaron los dos autores salvo dos que firmó D.V. solo;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y detectó y leyó primero los pares de estudios que podían compartir pacientes, antes de la relectura de los autores. </w:t>
      </w:r>
      <w:r>
        <w:rPr>
          <w:rFonts w:ascii="Times New Roman" w:hAnsi="Times New Roman"/>
          <w:b w:val="0"/>
          <w:i/>
          <w:sz w:val="22"/>
        </w:rPr>
        <w:t>Riesgo de sesgo.</w:t>
      </w:r>
      <w:r>
        <w:rPr>
          <w:rFonts w:ascii="Times New Roman" w:hAnsi="Times New Roman"/>
          <w:b w:val="0"/>
          <w:i w:val="0"/>
          <w:sz w:val="22"/>
        </w:rPr>
        <w:t xml:space="preserve"> Puso en cada casilla de los formularios, como comentario, las frases del artículo que localizó de forma automática para cada dominio, y generó el cuaderno de consenso con los juicios coincidentes precargados. </w:t>
      </w:r>
      <w:r>
        <w:rPr>
          <w:rFonts w:ascii="Times New Roman" w:hAnsi="Times New Roman"/>
          <w:b w:val="0"/>
          <w:i/>
          <w:sz w:val="22"/>
        </w:rPr>
        <w:t>Canal y redacción.</w:t>
      </w:r>
      <w:r>
        <w:rPr>
          <w:rFonts w:ascii="Times New Roman" w:hAnsi="Times New Roman"/>
          <w:b w:val="0"/>
          <w:i w:val="0"/>
          <w:sz w:val="22"/>
        </w:rPr>
        <w:t xml:space="preserve">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la primera pasada del 4 de agosto sobre el brazo A de PubMed,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65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2017–2026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56</w:t>
            </w:r>
          </w:p>
        </w:tc>
        <w:tc>
          <w:tcPr>
            <w:tcW w:type="dxa" w:w="3009"/>
          </w:tcPr>
          <w:p>
            <w:r/>
            <w:r>
              <w:rPr>
                <w:rFonts w:ascii="Times New Roman" w:hAnsi="Times New Roman"/>
                <w:b w:val="0"/>
                <w:i w:val="0"/>
                <w:sz w:val="18"/>
              </w:rPr>
              <w:t>86.2</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52.3</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16</w:t>
            </w:r>
          </w:p>
        </w:tc>
        <w:tc>
          <w:tcPr>
            <w:tcW w:type="dxa" w:w="3009"/>
          </w:tcPr>
          <w:p>
            <w:r/>
            <w:r>
              <w:rPr>
                <w:rFonts w:ascii="Times New Roman" w:hAnsi="Times New Roman"/>
                <w:b w:val="0"/>
                <w:i w:val="0"/>
                <w:sz w:val="18"/>
              </w:rPr>
              <w:t>24.6</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10.8</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Otros 9 países, un estudio cada uno</w:t>
            </w:r>
          </w:p>
        </w:tc>
        <w:tc>
          <w:tcPr>
            <w:tcW w:type="dxa" w:w="3009"/>
          </w:tcPr>
          <w:p>
            <w:r/>
            <w:r>
              <w:rPr>
                <w:rFonts w:ascii="Times New Roman" w:hAnsi="Times New Roman"/>
                <w:b w:val="0"/>
                <w:i w:val="0"/>
                <w:sz w:val="18"/>
              </w:rPr>
              <w:t>9</w:t>
            </w:r>
          </w:p>
        </w:tc>
        <w:tc>
          <w:tcPr>
            <w:tcW w:type="dxa" w:w="3009"/>
          </w:tcPr>
          <w:p>
            <w:r/>
            <w:r>
              <w:rPr>
                <w:rFonts w:ascii="Times New Roman" w:hAnsi="Times New Roman"/>
                <w:b w:val="0"/>
                <w:i w:val="0"/>
                <w:sz w:val="18"/>
              </w:rPr>
              <w:t>13.8</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41</w:t>
            </w:r>
          </w:p>
        </w:tc>
        <w:tc>
          <w:tcPr>
            <w:tcW w:type="dxa" w:w="3009"/>
          </w:tcPr>
          <w:p>
            <w:r/>
            <w:r>
              <w:rPr>
                <w:rFonts w:ascii="Times New Roman" w:hAnsi="Times New Roman"/>
                <w:b w:val="0"/>
                <w:i w:val="0"/>
                <w:sz w:val="18"/>
              </w:rPr>
              <w:t>63.1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No asignable en el resumen</w:t>
            </w:r>
          </w:p>
        </w:tc>
        <w:tc>
          <w:tcPr>
            <w:tcW w:type="dxa" w:w="1805"/>
          </w:tcPr>
          <w:p>
            <w:r/>
            <w:r>
              <w:rPr>
                <w:rFonts w:ascii="Times New Roman" w:hAnsi="Times New Roman"/>
                <w:b/>
                <w:i w:val="0"/>
                <w:sz w:val="18"/>
              </w:rPr>
              <w:t>Declarado en el texto completo</w:t>
            </w:r>
          </w:p>
        </w:tc>
        <w:tc>
          <w:tcPr>
            <w:tcW w:type="dxa" w:w="1805"/>
          </w:tcPr>
          <w:p>
            <w:r/>
            <w:r>
              <w:rPr>
                <w:rFonts w:ascii="Times New Roman" w:hAnsi="Times New Roman"/>
                <w:b/>
                <w:i w:val="0"/>
                <w:sz w:val="18"/>
              </w:rPr>
              <w:t>Declarado pero no clasificable</w:t>
            </w:r>
          </w:p>
        </w:tc>
        <w:tc>
          <w:tcPr>
            <w:tcW w:type="dxa" w:w="1805"/>
          </w:tcPr>
          <w:p>
            <w:r/>
            <w:r>
              <w:rPr>
                <w:rFonts w:ascii="Times New Roman" w:hAnsi="Times New Roman"/>
                <w:b/>
                <w:i w:val="0"/>
                <w:sz w:val="18"/>
              </w:rPr>
              <w:t>No declarado en el texto completo</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33 (50.8 %)</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15</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17 (26.2 %)</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5</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32 (49.2 %)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36 (55.4 %)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63 (96.9 %)</w:t>
            </w:r>
          </w:p>
        </w:tc>
        <w:tc>
          <w:tcPr>
            <w:tcW w:type="dxa" w:w="1805"/>
          </w:tcPr>
          <w:p>
            <w:r/>
            <w:r>
              <w:rPr>
                <w:rFonts w:ascii="Times New Roman" w:hAnsi="Times New Roman"/>
                <w:b w:val="0"/>
                <w:i w:val="0"/>
                <w:sz w:val="18"/>
              </w:rPr>
              <w:t>63</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Lo que el criterio del texto completo deja fuera: estudios incluidos frente a excluidos por no disponer del artículo.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Incluidos (texto completo leído)</w:t>
            </w:r>
          </w:p>
        </w:tc>
        <w:tc>
          <w:tcPr>
            <w:tcW w:type="dxa" w:w="3009"/>
          </w:tcPr>
          <w:p>
            <w:r/>
            <w:r>
              <w:rPr>
                <w:rFonts w:ascii="Times New Roman" w:hAnsi="Times New Roman"/>
                <w:b/>
                <w:i w:val="0"/>
                <w:sz w:val="18"/>
              </w:rPr>
              <w:t>Excluidos por no tener el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65</w:t>
            </w:r>
          </w:p>
        </w:tc>
        <w:tc>
          <w:tcPr>
            <w:tcW w:type="dxa" w:w="3009"/>
          </w:tcPr>
          <w:p>
            <w:r/>
            <w:r>
              <w:rPr>
                <w:rFonts w:ascii="Times New Roman" w:hAnsi="Times New Roman"/>
                <w:b w:val="0"/>
                <w:i w:val="0"/>
                <w:sz w:val="18"/>
              </w:rPr>
              <w:t>25</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7</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3.1</w:t>
            </w:r>
          </w:p>
        </w:tc>
        <w:tc>
          <w:tcPr>
            <w:tcW w:type="dxa" w:w="3009"/>
          </w:tcPr>
          <w:p>
            <w:r/>
            <w:r>
              <w:rPr>
                <w:rFonts w:ascii="Times New Roman" w:hAnsi="Times New Roman"/>
                <w:b w:val="0"/>
                <w:i w:val="0"/>
                <w:sz w:val="18"/>
              </w:rPr>
              <w:t>28.0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5</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348</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NOPDF</w:t>
            </w:r>
          </w:p>
        </w:tc>
        <w:tc>
          <w:tcPr>
            <w:tcW w:type="dxa" w:w="1805"/>
          </w:tcPr>
          <w:p>
            <w:r/>
            <w:r>
              <w:rPr>
                <w:rFonts w:ascii="Times New Roman" w:hAnsi="Times New Roman"/>
                <w:b w:val="0"/>
                <w:i w:val="0"/>
                <w:sz w:val="18"/>
              </w:rPr>
              <w:t>Sin PDF del articulo completo con acceso: el texto no se obtuvo, o el estudio solo existe como resumen de congreso o ficha de registro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73 brazos).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i w:val="0"/>
                <w:sz w:val="18"/>
              </w:rPr>
              <w:t>Desenlace</w:t>
            </w:r>
          </w:p>
        </w:tc>
        <w:tc>
          <w:tcPr>
            <w:tcW w:type="dxa" w:w="2256"/>
          </w:tcPr>
          <w:p>
            <w:r/>
            <w:r>
              <w:rPr>
                <w:rFonts w:ascii="Times New Roman" w:hAnsi="Times New Roman"/>
                <w:b/>
                <w:i w:val="0"/>
                <w:sz w:val="18"/>
              </w:rPr>
              <w:t>Con numerador y denominador</w:t>
            </w:r>
          </w:p>
        </w:tc>
        <w:tc>
          <w:tcPr>
            <w:tcW w:type="dxa" w:w="2256"/>
          </w:tcPr>
          <w:p>
            <w:r/>
            <w:r>
              <w:rPr>
                <w:rFonts w:ascii="Times New Roman" w:hAnsi="Times New Roman"/>
                <w:b/>
                <w:i w:val="0"/>
                <w:sz w:val="18"/>
              </w:rPr>
              <w:t>% de los 73 brazos</w:t>
            </w:r>
          </w:p>
        </w:tc>
        <w:tc>
          <w:tcPr>
            <w:tcW w:type="dxa" w:w="2256"/>
          </w:tcPr>
          <w:p>
            <w:r/>
            <w:r>
              <w:rPr>
                <w:rFonts w:ascii="Times New Roman" w:hAnsi="Times New Roman"/>
                <w:b/>
                <w:i w:val="0"/>
                <w:sz w:val="18"/>
              </w:rPr>
              <w:t>% con doble lectura</w:t>
            </w:r>
          </w:p>
        </w:tc>
      </w:tr>
      <w:tr>
        <w:tc>
          <w:tcPr>
            <w:tcW w:type="dxa" w:w="2256"/>
          </w:tcPr>
          <w:p>
            <w:r/>
            <w:r>
              <w:rPr>
                <w:rFonts w:ascii="Times New Roman" w:hAnsi="Times New Roman"/>
                <w:b w:val="0"/>
                <w:i w:val="0"/>
                <w:sz w:val="18"/>
              </w:rPr>
              <w:t>Éxito clínico</w:t>
            </w:r>
          </w:p>
        </w:tc>
        <w:tc>
          <w:tcPr>
            <w:tcW w:type="dxa" w:w="2256"/>
          </w:tcPr>
          <w:p>
            <w:r/>
            <w:r>
              <w:rPr>
                <w:rFonts w:ascii="Times New Roman" w:hAnsi="Times New Roman"/>
                <w:b w:val="0"/>
                <w:i w:val="0"/>
                <w:sz w:val="18"/>
              </w:rPr>
              <w:t>64</w:t>
            </w:r>
          </w:p>
        </w:tc>
        <w:tc>
          <w:tcPr>
            <w:tcW w:type="dxa" w:w="2256"/>
          </w:tcPr>
          <w:p>
            <w:r/>
            <w:r>
              <w:rPr>
                <w:rFonts w:ascii="Times New Roman" w:hAnsi="Times New Roman"/>
                <w:b w:val="0"/>
                <w:i w:val="0"/>
                <w:sz w:val="18"/>
              </w:rPr>
              <w:t>87.7</w:t>
            </w:r>
          </w:p>
        </w:tc>
        <w:tc>
          <w:tcPr>
            <w:tcW w:type="dxa" w:w="2256"/>
          </w:tcPr>
          <w:p>
            <w:r/>
            <w:r>
              <w:rPr>
                <w:rFonts w:ascii="Times New Roman" w:hAnsi="Times New Roman"/>
                <w:b w:val="0"/>
                <w:i w:val="0"/>
                <w:sz w:val="18"/>
              </w:rPr>
              <w:t>98.4</w:t>
            </w:r>
          </w:p>
        </w:tc>
      </w:tr>
      <w:tr>
        <w:tc>
          <w:tcPr>
            <w:tcW w:type="dxa" w:w="2256"/>
          </w:tcPr>
          <w:p>
            <w:r/>
            <w:r>
              <w:rPr>
                <w:rFonts w:ascii="Times New Roman" w:hAnsi="Times New Roman"/>
                <w:b w:val="0"/>
                <w:i w:val="0"/>
                <w:sz w:val="18"/>
              </w:rPr>
              <w:t>Erradicación microbiológica</w:t>
            </w:r>
          </w:p>
        </w:tc>
        <w:tc>
          <w:tcPr>
            <w:tcW w:type="dxa" w:w="2256"/>
          </w:tcPr>
          <w:p>
            <w:r/>
            <w:r>
              <w:rPr>
                <w:rFonts w:ascii="Times New Roman" w:hAnsi="Times New Roman"/>
                <w:b w:val="0"/>
                <w:i w:val="0"/>
                <w:sz w:val="18"/>
              </w:rPr>
              <w:t>53</w:t>
            </w:r>
          </w:p>
        </w:tc>
        <w:tc>
          <w:tcPr>
            <w:tcW w:type="dxa" w:w="2256"/>
          </w:tcPr>
          <w:p>
            <w:r/>
            <w:r>
              <w:rPr>
                <w:rFonts w:ascii="Times New Roman" w:hAnsi="Times New Roman"/>
                <w:b w:val="0"/>
                <w:i w:val="0"/>
                <w:sz w:val="18"/>
              </w:rPr>
              <w:t>72.6</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Mortalidad</w:t>
            </w:r>
          </w:p>
        </w:tc>
        <w:tc>
          <w:tcPr>
            <w:tcW w:type="dxa" w:w="2256"/>
          </w:tcPr>
          <w:p>
            <w:r/>
            <w:r>
              <w:rPr>
                <w:rFonts w:ascii="Times New Roman" w:hAnsi="Times New Roman"/>
                <w:b w:val="0"/>
                <w:i w:val="0"/>
                <w:sz w:val="18"/>
              </w:rPr>
              <w:t>66</w:t>
            </w:r>
          </w:p>
        </w:tc>
        <w:tc>
          <w:tcPr>
            <w:tcW w:type="dxa" w:w="2256"/>
          </w:tcPr>
          <w:p>
            <w:r/>
            <w:r>
              <w:rPr>
                <w:rFonts w:ascii="Times New Roman" w:hAnsi="Times New Roman"/>
                <w:b w:val="0"/>
                <w:i w:val="0"/>
                <w:sz w:val="18"/>
              </w:rPr>
              <w:t>90.4</w:t>
            </w:r>
          </w:p>
        </w:tc>
        <w:tc>
          <w:tcPr>
            <w:tcW w:type="dxa" w:w="2256"/>
          </w:tcPr>
          <w:p>
            <w:r/>
            <w:r>
              <w:rPr>
                <w:rFonts w:ascii="Times New Roman" w:hAnsi="Times New Roman"/>
                <w:b w:val="0"/>
                <w:i w:val="0"/>
                <w:sz w:val="18"/>
              </w:rPr>
              <w:t>98.5</w:t>
            </w:r>
          </w:p>
        </w:tc>
      </w:tr>
      <w:tr>
        <w:tc>
          <w:tcPr>
            <w:tcW w:type="dxa" w:w="2256"/>
          </w:tcPr>
          <w:p>
            <w:r/>
            <w:r>
              <w:rPr>
                <w:rFonts w:ascii="Times New Roman" w:hAnsi="Times New Roman"/>
                <w:b w:val="0"/>
                <w:i w:val="0"/>
                <w:sz w:val="18"/>
              </w:rPr>
              <w:t>Eventos adversos</w:t>
            </w:r>
          </w:p>
        </w:tc>
        <w:tc>
          <w:tcPr>
            <w:tcW w:type="dxa" w:w="2256"/>
          </w:tcPr>
          <w:p>
            <w:r/>
            <w:r>
              <w:rPr>
                <w:rFonts w:ascii="Times New Roman" w:hAnsi="Times New Roman"/>
                <w:b w:val="0"/>
                <w:i w:val="0"/>
                <w:sz w:val="18"/>
              </w:rPr>
              <w:t>65</w:t>
            </w:r>
          </w:p>
        </w:tc>
        <w:tc>
          <w:tcPr>
            <w:tcW w:type="dxa" w:w="2256"/>
          </w:tcPr>
          <w:p>
            <w:r/>
            <w:r>
              <w:rPr>
                <w:rFonts w:ascii="Times New Roman" w:hAnsi="Times New Roman"/>
                <w:b w:val="0"/>
                <w:i w:val="0"/>
                <w:sz w:val="18"/>
              </w:rPr>
              <w:t>89.0</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Emergencia de resistencia al fago</w:t>
            </w:r>
          </w:p>
        </w:tc>
        <w:tc>
          <w:tcPr>
            <w:tcW w:type="dxa" w:w="2256"/>
          </w:tcPr>
          <w:p>
            <w:r/>
            <w:r>
              <w:rPr>
                <w:rFonts w:ascii="Times New Roman" w:hAnsi="Times New Roman"/>
                <w:b w:val="0"/>
                <w:i w:val="0"/>
                <w:sz w:val="18"/>
              </w:rPr>
              <w:t>26</w:t>
            </w:r>
          </w:p>
        </w:tc>
        <w:tc>
          <w:tcPr>
            <w:tcW w:type="dxa" w:w="2256"/>
          </w:tcPr>
          <w:p>
            <w:r/>
            <w:r>
              <w:rPr>
                <w:rFonts w:ascii="Times New Roman" w:hAnsi="Times New Roman"/>
                <w:b w:val="0"/>
                <w:i w:val="0"/>
                <w:sz w:val="18"/>
              </w:rPr>
              <w:t>35.6</w:t>
            </w:r>
          </w:p>
        </w:tc>
        <w:tc>
          <w:tcPr>
            <w:tcW w:type="dxa" w:w="2256"/>
          </w:tcPr>
          <w:p>
            <w:r/>
            <w:r>
              <w:rPr>
                <w:rFonts w:ascii="Times New Roman" w:hAnsi="Times New Roman"/>
                <w:b w:val="0"/>
                <w:i w:val="0"/>
                <w:sz w:val="18"/>
              </w:rPr>
              <w:t>57.7</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73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73</w:t>
            </w:r>
          </w:p>
        </w:tc>
        <w:tc>
          <w:tcPr>
            <w:tcW w:type="dxa" w:w="3009"/>
          </w:tcPr>
          <w:p>
            <w:r/>
            <w:r>
              <w:rPr>
                <w:rFonts w:ascii="Times New Roman" w:hAnsi="Times New Roman"/>
                <w:b w:val="0"/>
                <w:i w:val="0"/>
                <w:sz w:val="18"/>
              </w:rPr>
              <w:t>73 (65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12</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64 (60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 (20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19 (16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081277"/>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081277"/>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rFonts w:ascii="Times New Roman" w:hAnsi="Times New Roman"/>
          <w:b w:val="0"/>
          <w:i/>
          <w:sz w:val="22"/>
        </w:rPr>
        <w:t>Fuente.</w:t>
      </w:r>
      <w:r>
        <w:rPr>
          <w:rFonts w:ascii="Times New Roman" w:hAnsi="Times New Roman"/>
          <w:b w:val="0"/>
          <w:i w:val="0"/>
          <w:sz w:val="22"/>
        </w:rPr>
        <w:t xml:space="preserve"> Canal de cribado del proyecto; ejecuciones documentadas de las búsquedas del 3 y el 4 de agosto de 2026, con la exportación de BVS incorporada al corpus el 10 de agosto.</w:t>
      </w:r>
    </w:p>
    <w:p>
      <w:pPr>
        <w:spacing w:before="240" w:after="100" w:line="240" w:lineRule="auto"/>
      </w:pPr>
      <w:r>
        <w:rPr>
          <w:rFonts w:ascii="Times New Roman" w:hAnsi="Times New Roman"/>
          <w:b w:val="0"/>
          <w:i/>
          <w:sz w:val="18"/>
        </w:rPr>
        <w:t>Figura 2. Composición del cuerpo de evidencia recuperable (n = 65 estudios).</w:t>
      </w:r>
    </w:p>
    <w:p>
      <w:pPr>
        <w:jc w:val="center"/>
      </w:pPr>
      <w:r>
        <w:drawing>
          <wp:inline xmlns:a="http://schemas.openxmlformats.org/drawingml/2006/main" xmlns:pic="http://schemas.openxmlformats.org/drawingml/2006/picture">
            <wp:extent cx="5120640" cy="2347675"/>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7675"/>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65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Evaluación previa del manuscrito que redactó el modelo de lenguaje en el papel de un editor de revista; no es una evaluación editorial externa.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su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Las decisiones del cribado vigente, en dos ficheros: etapa 2 (título) y etapa 3 (resumen), cada una con su motivo, quién la emitió y su marca de tiempo. La primera pasada del 4 de agosto de 2026 sobre el brazo A de PubMed, que el cribado del pozo sustituyó, consta en el repositorio y no en S3.</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65 estudios con publicación recuperable, emitida por el modelo de lenguaje y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65 estudios del corpus, con su situación y sus informes agrupados. Los 118 excluidos después del cribado están en S16.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del cribado contra los 42 controles positivos fijados antes de empezarlo, 40 de ellos comprobables por PMID.</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Vía de recuperación resuelta en agosto de 2026 para cada informe que pasó a texto completo sin DOI editorial, PMID ni NCT: el identificador del registro o el código de protocolo, el DOI localizado, el ensayo ya identificado del que es informe o la cita por la que buscarlo. No registra los intentos de descarga ni su resultado; los estudios que se quedaron sin el artículo completo están en S16 (NOPDF).</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Idioma del cuerpo del PDF de cada uno de los 65 estudios del corpus: una detección mecánica sobre el texto de todo el PDF, no sobre los metadatos ni solo sobre el resumen, que hace un guion del canal escrito por el modelo de lenguaje, introducida el 6 de octubre de 2026 y rehecha en cada pasada. Da 65 en inglés; la columna mirar_a_mano marca 1 PDF para revisarlo página a página por su fracción de caracteres cirílicos o CJK.</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antes de resolver los desacuerdos; su independencia no está acreditada.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Cómo se cerraron los 541 desacuerdos de extracción y quién los adjudicó según el registro: los dos revisores en 14 y uno solo en 525; 2 se cerraron por una regla mecánica, sin firma conjunta.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 Las redactó el modelo de lenguaje; según declara D.V., las decidieron los dos autores, y el registro del 12 de agosto de 2026 las dejó como propuesta sin ratificar.</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la adjudicación de los desacuerdos.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adjudicada por los dos, adjudicada por uno, corregida contra el texto,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118 estudios que el cribado admitió y que salieron después, con su código de motivo y quién firmó la exclusión. 47 llevan la cita en que se apoya; los 63 sin el artículo completo (NOPDF) y los 4 sin texto que se pudiera leer (NOREC) no tienen nada que citar, y 4 más van sin cita. De las que llevan cita, 17 citan la ficha del registro y 1, la indexación de SciELO.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73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68 juicios de riesgo de sesgo, uno por fila, con lo que sostiene cada uno en el cuaderno firmado: una cita literal en 24, una nota sin cita en 36 y nada en 8, marcados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 cada artículo que el modelo de lenguaje localizó de forma automática para cada dominio de riesgo de sesgo y puso como comentario en los formularios; acompañan a lo que sostiene cada juicio en S18, no lo sustituyen.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examinó D.V., según su declaración,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73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30 pares de estudios que podían describir a los mismos pacientes, con la señal que los marcó, el veredicto tras leer los dos artículos, los pacientes compartidos y la frase firmada en que se apoya.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S23.</w:t>
      </w:r>
      <w:r>
        <w:rPr>
          <w:rFonts w:ascii="Times New Roman" w:hAnsi="Times New Roman"/>
          <w:b w:val="0"/>
          <w:i w:val="0"/>
          <w:sz w:val="22"/>
        </w:rPr>
        <w:t xml:space="preserve"> La clase de resistencia de los 70 estudios que tenían texto completo, comprobada contra el antibiograma del artículo: la conclusión firmada, la frase o la tabla en que se apoya, cómo se codificó y qué cambió en la extracción.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S24.</w:t>
      </w:r>
      <w:r>
        <w:rPr>
          <w:rFonts w:ascii="Times New Roman" w:hAnsi="Times New Roman"/>
          <w:b w:val="0"/>
          <w:i w:val="0"/>
          <w:sz w:val="22"/>
        </w:rPr>
        <w:t xml:space="preserve"> Los 14 estudios con diseño comparativo, reextraídos: comparador, asignación, tiempo cero, tiempo de evaluación, cointervenciones, pérdidas, estimando y si hay un contraste para </w:t>
      </w:r>
      <w:r>
        <w:rPr>
          <w:rFonts w:ascii="Times New Roman" w:hAnsi="Times New Roman"/>
          <w:b w:val="0"/>
          <w:i/>
          <w:sz w:val="22"/>
        </w:rPr>
        <w:t>P. aeruginosa</w:t>
      </w:r>
      <w:r>
        <w:rPr>
          <w:rFonts w:ascii="Times New Roman" w:hAnsi="Times New Roman"/>
          <w:b w:val="0"/>
          <w:i w:val="0"/>
          <w:sz w:val="22"/>
        </w:rPr>
        <w:t>.</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