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Verificables — Revisión sistemática de fagoterapia en Pseudomonas aeruginosa multirresistente</w:t>
      </w:r>
    </w:p>
    <w:p>
      <w:r>
        <w:rPr>
          <w:i/>
          <w:sz w:val="19"/>
        </w:rPr>
        <w:t>Índice del paquete. Cada archivo responde a un ítem de PRISMA 2020, a un requisito del ICMJE o a una comprobación metodológica. Las remisiones a secciones (§) y a tablas son las del manuscrito maestro (el informe extendido), no las del manuscrito preparado para la revista.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175"/>
          </w:tcPr>
          <w:p>
            <w:r/>
            <w:r>
              <w:rPr>
                <w:b/>
                <w:sz w:val="18"/>
              </w:rPr>
              <w:t>Archivo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18"/>
              </w:rPr>
              <w:t>Qué contiene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18"/>
              </w:rPr>
              <w:t>Responde 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S0_informe_editorial.docx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Autoevaluación redactada por el modelo de lenguaje (Claude Opus 5) a petición de los autores; no es un informe de un editor ni una revisión externa. Qué bloquea la publicación y qué solo la mejora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Se adjunta a propósito; no es un requisito de PRISMA ni del ICMJE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manuscrito_es.docx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Manuscrito maestro completo, en español, en Word; el de la revista deriva de él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Referencia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manuscrito_revision_sistematica.pdf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El mismo manuscrito maestro, maquetado en PDF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Referencia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manuscript_en.docx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Versión en inglés del manuscrito maestro, en Word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Referencia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manuscript_systematic_review_en.pdf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La versión en inglés, maquetada en PDF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Referencia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S1_lista_PRISMA_2020.docx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Lista de comprobación ítem por ítem, con estado y ubicación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S2_estrategias_de_busqueda.docx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Sintaxis literal por fuente, con su número de resultados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7; el 6, en parte: la ejecución de Scopus cuya exportación entró al corpus no tiene fecha registrada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S3_decisiones_etapa2_titulo.xlsx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Registro solo-anexar de cada decisión del cribado vigente por título, con su motivo y su marca de tiempo; las emitió el modelo de lenguaje (Claude Opus 5) como revisor único, sin duplicación. La primera pasada del 4 de agosto de 2026 sobre el brazo A de PubMed, que el cribado del pozo sustituyó, consta en el repositorio y no en S3, salvo 77 decisiones de resumen que el cribado del pozo heredó de ella por PMID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S3_decisiones_etapa3_resumen.xlsx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Ídem para el cribado por resumen, con la corriente PRISMA; una corrección es una fila nueva y la anterior se conserva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8 y 16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S4_pre_extraccion_desde_resumen.xlsx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Pre-extracción desde el resumen de los 65 estudios, emitida por el modelo de lenguaje y marcada como parcial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9 y 10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S5_listado_65_estudios.xlsx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65 estudios del corpus con su situación, diseño, procedencia e informes agrupados; la agrupación la propuso un guion escrito por el modelo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S6_auditoria_controles_positivos.docx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Auditoría del cribado contra los 42 controles positivos fijados antes de empezarlo: no perdió ninguno de los 40 comprobables por PMID hasta la enmienda de idioma, que excluyó a Ronit 2024; hoy siguen en el corpus 35 de los 42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Metodológico; refuerza el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S7_declaraciones_ICMJE.docx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Financiación, conflictos, CRediT, registro, datos y la declaración de uso de IA, copiada literal del manuscrito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ICMJE; PRISMA ítems 24 a 27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S8_recuperacion_texto_completo.xlsx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Vía de recuperación resuelta para cada informe sin DOI editorial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Sección 3.2 del manuscrito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S9_idioma_por_informe_y_clase_de_evidencia.xlsx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 cada informe que superó el cribado, con la clase de evidencia y la prueba concreta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S10_idioma_verificado_sobre_texto_completo.xlsx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Idioma del cuerpo del PDF de cada uno de los 65 estudios del corpus, comprobado por un guion del canal escrito por el modelo sobre el texto del artículo y no sobre los metadatos: los 65 en inglés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5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S11_concordancia_entre_extractores.pdf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Concordancia entre las dos extracciones, variable a variable, antes de resolver nada; su independencia no está acreditada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S12_resolucion_de_conflictos.pdf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Cómo se cerró cada uno de los 541 desacuerdos de la extracción y a quién anota el registro como responsable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S13_reglas_de_extraccion_de_desenlaces.pdf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Definición de erradicación y de éxito clínico, con su corrección documentada. Las redactó el modelo de lenguaje; según declara D.V., las decidieron los dos autores, y el registro del 12 de agosto de 2026 las dejó como propuesta sin ratificar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10a y 13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S14_extraccion_adjudicada.xlsx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Extracción definitiva: un valor por casilla, brazo a brazo, tras la adjudicación de los desacuerdos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10a y 19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S15_procedencia_de_cada_casilla.xlsx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De dónde sale el valor de cada casilla de S14: acuerdo, adjudicada por los dos, adjudicada por uno, corregida contra el texto, una sola lectura o abierta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9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S16_excluidos_tras_leer_el_texto_completo.xlsx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118 estudios que el cribado admitió y que salieron después, con su código de motivo y quién firmó cada exclusión (los dos autores en 116; D.V. solo en 2). 71 no llevan cita: los 63 sin el artículo completo (NOPDF), los 4 sin texto que se pudiera leer (NOREC) y 4 de los 24 con el código ORG. De las 47 que la llevan, 17 citan la ficha del registro y 1 (EST-205) la indexación en SciELO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16b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S17_tabla6_brazo_a_brazo.xlsx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La Tabla 6 desglosada: los requisitos para agrupar, brazo a brazo, con el primero que falla y por qué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13a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S18_cada_juicio_con_su_frase.xlsx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68 juicios de riesgo de sesgo, uno por fila, con lo que sostiene cada uno en el cuaderno firmado: una cita literal en 24, una nota sin cita en 36 y nada en 8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ítems 11 y 18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S18b_frases_cosechadas_por_tema.xlsx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Las frases de cada artículo que el modelo de lenguaje localizó de forma automática para cada dominio de riesgo de sesgo y puso como comentario en los formularios; no sustituyen a lo que sostiene cada juicio (S18)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11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S19_cribado_con_modelo_de_lenguaje.docx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Qué modelo emitió las decisiones de cribado, cuándo y sobre qué ficheros; qué examinó D.V., según su declaración, y qué no quedó registrado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8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S20_de_que_informe_salio_cada_brazo.xlsx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De qué informe salió cada brazo extraído, y con qué prueba se estableció el vínculo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S21_solapamiento_de_pacientes.xlsx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30 pares de estudios que podían describir a los mismos pacientes, con la señal que los marcó, el veredicto tras leer los dos artículos y la frase firmada en que se apoya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Metodológico; pacientes contados dos veces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S22_completitud_resumen_frente_a_texto.xlsx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Para cada variable de estratificación, cuántos estudios la declaran en el texto completo, cuántos la mencionan sin poder clasificarla y cuántos callan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Metodológico; separa el resumen del texto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S23_clase_de_resistencia_comprobada.xlsx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La clase de resistencia comprobada contra el antibiograma de cada artículo, con la frase o la tabla en que se apoya y qué cambió en la extracción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S24_comparativos_reextraidos.xlsx + .csv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Los estudios con diseño comparativo, reextraídos: comparador, asignación, tiempo cero, cointervenciones, pérdidas, estimando y si hay un contraste para P. aeruginosa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10a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00_GUIA_DEL_MATERIAL_SUPLEMENTARIO.pdf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Guía en lengua llana: qué pregunta contesta cada fichero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Orientación para el revisor</w:t>
            </w:r>
          </w:p>
        </w:tc>
      </w:tr>
      <w:tr>
        <w:tc>
          <w:tcPr>
            <w:tcW w:type="dxa" w:w="3175"/>
          </w:tcPr>
          <w:p>
            <w:r/>
            <w:r>
              <w:rPr>
                <w:sz w:val="18"/>
              </w:rPr>
              <w:t>figuras y tablas/</w:t>
            </w:r>
          </w:p>
        </w:tc>
        <w:tc>
          <w:tcPr>
            <w:tcW w:type="dxa" w:w="4195"/>
          </w:tcPr>
          <w:p>
            <w:r/>
            <w:r>
              <w:rPr>
                <w:sz w:val="18"/>
              </w:rPr>
              <w:t>Figuras 1 y 2 en PDF vectorial; tablas 1 a 7 del manuscrito en CSV, más la tabla de criterios de elegibilidad</w:t>
            </w:r>
          </w:p>
        </w:tc>
        <w:tc>
          <w:tcPr>
            <w:tcW w:type="dxa" w:w="2041"/>
          </w:tcPr>
          <w:p>
            <w:r/>
            <w:r>
              <w:rPr>
                <w:sz w:val="18"/>
              </w:rPr>
              <w:t>PRISMA 2020, ítem 16a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535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4876"/>
          </w:tcPr>
          <w:p>
            <w:r/>
            <w:r>
              <w:rPr>
                <w:b/>
                <w:sz w:val="18"/>
              </w:rPr>
              <w:t>Estado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Búsqueda en 8 fuentes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Cribado por título y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 — decisiones emitidas por el modelo de lenguaje como revisor único, sin duplicación; 233 informes pasaron a texto completo (183 estudios)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Elegibilidad a texto completo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118 de 183 estudios excluidos (63 por no disponer del artículo completo); 65 en el corpus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Verificación del criterio de idioma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80 informes, ninguno sin prueba; los 65 estudios del corpus, comprobados sobre el cuerpo del PDF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Agrupación de informes en estudios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la propuso un guion escrito por el modelo (S5)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Pre-extracción desde resumen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65 de 65, emitida por el modelo de lenguaje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Recuperación de texto completo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100,0 % POR CONSTRUCCIÓN — 65 de 65: desde el 6 de octubre de 2026 solo entran estudios con el artículo completo (segunda enmienda); justo antes del criterio, 65 de 86 (75,6 %)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Extracción por duplicado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122 de 124 estudios (98 %), sin independencia acreditada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Adjudicación de los desacuerdos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539 de 541 adjudicados: el registro anota a los dos en 14 y un único responsable en 525 (D.V. en 293, N.T. en 232); 2 cerrados por una regla mecánica, sin firma conjunta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Validación del cribado en Rayyan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COMPLETA — un solo revisor (D.V.) recribó a ciegas 350 registros excluidos; en la primera pasada, sin los criterios a la vista, marcó 6 como incluibles y, al contrastarlos con los criterios, D.V. los reclasificó como excluidos: 0 falsos negativos en 350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Riesgo de sesgo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COMPLETO — 9 comparativos evaluables (2 RoB 2, 7 ROBINS-I), 68 juicios, firmados por los dos autores; sin independencia acreditada entre los dos cuadernos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GRADE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NO SE APLICA — no hay estimador agrupado cuya certeza calificar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Registro del protocolo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NO SE REGISTRÓ — la ausencia se declara (§2.1); PROSPERO ya no admite una revisión con la extracción hecha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18"/>
              </w:rPr>
              <w:t>Manuscrito y figuras</w:t>
            </w:r>
          </w:p>
        </w:tc>
        <w:tc>
          <w:tcPr>
            <w:tcW w:type="dxa" w:w="4876"/>
          </w:tcPr>
          <w:p>
            <w:r/>
            <w:r>
              <w:rPr>
                <w:sz w:val="18"/>
              </w:rPr>
              <w:t>REDACTADOS — los borradores los redactó el modelo de lenguaje; N.T. no ha aprobado ni revisado por escrito la versión final ni ha aceptado responder por el trabajo</w:t>
            </w:r>
          </w:p>
        </w:tc>
      </w:tr>
    </w:tbl>
    <w:p/>
    <w:p>
      <w:r>
        <w:rPr>
          <w:i/>
          <w:color w:val="444444"/>
          <w:sz w:val="17"/>
        </w:rPr>
        <w:t>Las cifras de este paquete y de los manuscritos las genera el canal de datos, cuyo código escribió y ejecutó el modelo de lenguaje. Unas comprobaciones automáticas recorren los manuscritos y fallan si una cifra no figura entre las del canal; que figure no garantiza que sea la que corresponde, y para eso una parte de las frases se comprueba contra la cifra concreta que debe llevar.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