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S7. Declaraciones y requisitos del ICMJE</w:t>
      </w:r>
    </w:p>
    <w:p>
      <w:r>
        <w:rPr>
          <w:i/>
          <w:sz w:val="19"/>
        </w:rPr>
        <w:t>Documento de acompañamiento al envío.</w:t>
      </w:r>
    </w:p>
    <w:p>
      <w:pPr>
        <w:pStyle w:val="Heading2"/>
      </w:pPr>
      <w:r>
        <w:t>Financiación</w:t>
      </w:r>
    </w:p>
    <w:p>
      <w:r>
        <w:t>Esta revisión no recibió financiación específica de agencias públicas, comerciales o sin ánimo de lucro.</w:t>
      </w:r>
    </w:p>
    <w:p>
      <w:pPr>
        <w:pStyle w:val="Heading2"/>
      </w:pPr>
      <w:r>
        <w:t>Conflictos de interés</w:t>
      </w:r>
    </w:p>
    <w:p>
      <w:r>
        <w:t>Los autores declaran no tener conflictos de interés.</w:t>
      </w:r>
    </w:p>
    <w:p>
      <w:pPr>
        <w:pStyle w:val="Heading2"/>
      </w:pPr>
      <w:r>
        <w:t>Formulario ICMJE de conflictos de interés</w:t>
      </w:r>
    </w:p>
    <w:p>
      <w:r>
        <w:t>Cada autor debe adjuntar el formulario ICMJE Disclosure of Interest firmado.</w:t>
      </w:r>
    </w:p>
    <w:p>
      <w:pPr>
        <w:pStyle w:val="Heading2"/>
      </w:pPr>
      <w:r>
        <w:t>Contribución de los autores (CRediT)</w:t>
      </w:r>
    </w:p>
    <w:p>
      <w:r>
        <w:t>D. Valdiviezo: conceptualización, metodología, investigación (según declara D.V., diseño de las búsquedas con la participación del modelo de lenguaje y su ejecución en cada interfaz con la guía del modelo; extracción de datos; riesgo de sesgo), dirección del software, la curación de datos, el análisis y la visualización, que programó y ejecutó el modelo de lenguaje, revisión de los borradores, que redactó el modelo, y administración del proyecto. N. Trelles: metodología (decisión, con D.V., de las reglas de desenlace que propuso el modelo de lenguaje, según declara D.V.; el registro del 12 de agosto de 2026 las dejó como propuesta sin ratificar), investigación, extracción de datos (122 de los 124 estudios), riesgo de sesgo y validación. ‹‹N. TRELLES: REVISIÓN Y EDICIÓN DEL MANUSCRITO, SOLO CUANDO CONSTE POR ESCRITO››</w:t>
      </w:r>
    </w:p>
    <w:p>
      <w:pPr>
        <w:pStyle w:val="Heading2"/>
      </w:pPr>
      <w:r>
        <w:t>Registro del protocolo</w:t>
      </w:r>
    </w:p>
    <w:p>
      <w:r>
        <w:t>La revisión no se registró en PROSPERO ni en ningún otro registro prospectivo, y no se depositó un protocolo previo (§2.1 del informe extendido; en el manuscrito de la revista, METODOLOGÍA › Protocolo y reporte). El protocolo de la fase definitiva de la revisión se depositará en OSF; no cubre este informe, que es anterior a él.</w:t>
      </w:r>
    </w:p>
    <w:p>
      <w:pPr>
        <w:pStyle w:val="Heading2"/>
      </w:pPr>
      <w:r>
        <w:t>Disponibilidad de datos y código</w:t>
      </w:r>
    </w:p>
    <w:p>
      <w:r>
        <w:t>Todo el material que sostiene esta revisión se conserva en un repositorio versionado del proyecto: el corpus de búsqueda con las exportaciones crudas de las nueve consultas, los registros solo-anexar de decisión de las tres etapas de cribado, los cuadernos de extracción de ambos revisores, los registros de decisión metodológica con sus fechas, y el código completo del canal, que es reejecutable de la búsqueda a las cifras del manuscrito. ‹‹DEPÓSITO PÚBLICO Y DOI — PENDIENTES DE DECISIÓN DE LOS AUTORES››. Los registros de decisión son solo-anexar y conservan cada corrección junto a la fila que sustituyen.</w:t>
      </w:r>
    </w:p>
    <w:p>
      <w:pPr>
        <w:pStyle w:val="Heading2"/>
      </w:pPr>
      <w:r>
        <w:t>Uso de inteligencia artificial</w:t>
      </w:r>
    </w:p>
    <w:p>
      <w:r>
        <w:t>Un modelo de lenguaje generativo (Claude Opus 5, Anthropic) intervino en todas las fases de esta revisión. Criterios. Redactó las propuestas de criterios y de reglas que decidieron los autores: entre ellas, la unidad de inclusión por estudio y la elegibilidad de los resúmenes de congreso (5 de agosto de 2026), los códigos de exclusión añadidos después del cribado (PRO, INT y NOORG) y las reglas de desenlace, que según declara D.V. decidieron los dos autores, aunque el registro del 12 de agosto de 2026 las dejó como propuesta sin ratificar; y las dos reglas añadidas a mitad de lote el 4 de agosto, que incorporó a sus guiones de cribado. Cribado. Emitió, como revisor único y sin duplicación, las decisiones registro a registro del cribado de títulos y resúmenes, incluidas las 35 exclusiones por idioma de la etapa de resumen, y la pre-extracción desde los resúmenes. El primer día de cribado escribió los motivos en texto libre; después usó seis motivos cuya redacción procede de esos textos, y no consta que los autores los fijaran antes de empezar. D.V. fue el único revisor humano: según declara, examinó uno a uno los informes que superaron el cribado, sin que ese examen quedara registrado; los que el modelo excluyó no los releyó ningún humano, salvo una muestra de 350 que recribó D.V. Búsqueda. Participó en el diseño de las ecuaciones, que según declara D.V. ejecutó D.V. en cada interfaz con la guía del modelo; redactó los mensajes de los commits del 3 de agosto de 2026, que narran esa ejecución en primera persona, y descargó por API los registros de PubMed y ClinicalTrials.gov. Selección y extracción. Localizó y descargó textos completos, también con un navegador; propuso la agrupación de los informes en estudios; leyó los textos completos y las fichas de registro y propuso, con su cita, las exclusiones que se apoyan en ellos, que firmaron los dos autores salvo dos que firmó D.V. solo; generó, unió y comparó los cuadernos de extracción; propuso con su cita una resolución para parte de los desacuerdos de una comparación posteriormente rehecha; extrajo las casillas del tercer paciente de EST-121, que firmó solo D.V., y propuso correcciones de modalidad que firmaron los dos; tradujo a categorías las conclusiones firmadas de la relectura y aplicó las que dejaban un valor único; y detectó y leyó primero los pares de estudios que podían compartir pacientes, antes de la relectura de los autores. Riesgo de sesgo. Puso en cada casilla de los formularios, como comentario, las frases del artículo que localizó de forma automática para cada dominio, y generó el cuaderno de consenso con los juicios coincidentes precargados. Canal y redacción. Escribió y ejecutó todo el código del canal, del que sale cada cifra, tabla y figura, y redactó los borradores del manuscrito, de los anexos, de la carta de presentación y de los registros de decisión. Salvo lo anterior, la extracción de datos y los juicios de riesgo de sesgo los emitieron los autores, aunque sin independencia acreditada entre sus dos lecturas (secciones 2.6 y 2.7). Cada decisión del cribado vigente está registrada con su motivo y su marca de tiempo, y se aporta íntegra (S3, S4); la primera pasada del 4 de agosto sobre el brazo A de PubMed, que el cribado del pozo sustituyó, consta en el repositorio y no en S3. D.V. asume la responsabilidad por la exactitud e integridad del trabajo; la de N.T. queda pendiente de su aprobación escrita. Ninguna herramienta de IA figura como autora, conforme a las recomendaciones del ICMJE.</w:t>
      </w:r>
    </w:p>
    <w:p>
      <w:pPr>
        <w:pStyle w:val="Heading2"/>
      </w:pPr>
      <w:r>
        <w:t>Ética y consentimiento</w:t>
      </w:r>
    </w:p>
    <w:p>
      <w:r>
        <w:t>No procede. Esta revisión sintetiza literatura ya publicada y datos agregados de registros públicos de ensayos; no involucra pacientes, muestras ni datos individuales identificables, de modo que no requirió aprobación de un comité de ética ni consentimiento informado. No se solicitó exención formal porque la institución no la exige para estudios sin datos primarios.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