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literatura clínica y la completitud de su reporte</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295; texto principal 10 394.</w:t>
      </w:r>
    </w:p>
    <w:p>
      <w:r>
        <w:rPr>
          <w:b/>
        </w:rPr>
        <w:t>Tablas:</w:t>
      </w:r>
      <w:r>
        <w:t xml:space="preserve"> 7. </w:t>
      </w:r>
      <w:r>
        <w:rPr>
          <w:b/>
        </w:rPr>
        <w:t>Figuras:</w:t>
      </w:r>
      <w:r>
        <w:t xml:space="preserve"> 2. </w:t>
      </w:r>
      <w:r>
        <w:rPr>
          <w:b/>
        </w:rPr>
        <w:t>Material suplementario:</w:t>
      </w:r>
      <w:r>
        <w:t xml:space="preserve"> anexos S0–S24 y S18b,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con su artículo completo: criterio añadido tras la extracción. Extracción manual por duplicado, sin independencia acreditada, y adjudicada: la estructura sale de una pre-extracción del modelo desde el resumen; los desenlaces, de la extracción adjudicada.</w:t>
      </w:r>
    </w:p>
    <w:p>
      <w:r>
        <w:rPr>
          <w:b/>
        </w:rPr>
        <w:t>Resultados.</w:t>
      </w:r>
      <w:r>
        <w:t xml:space="preserve"> De 23 057 registros quedaron 17 129 informes únicos; 233 informes formaron 183 estudios y </w:t>
      </w:r>
      <w:r>
        <w:rPr>
          <w:b/>
        </w:rPr>
        <w:t>118 salieron del corpus</w:t>
      </w:r>
      <w:r>
        <w:t xml:space="preserve">: 63 por no disponer del artículo completo —42 solo existían como ficha de registro— y 55 por los criterios (en 11 no pudieron verificarse) —protocolos, modelos preclínicos, y artículos donde </w:t>
      </w:r>
      <w:r>
        <w:rPr>
          <w:i/>
        </w:rPr>
        <w:t>P. aeruginosa</w:t>
      </w:r>
      <w:r>
        <w:t xml:space="preserve"> solo figura en el espectro del producto—. Quedan </w:t>
      </w:r>
      <w:r>
        <w:rPr>
          <w:b/>
        </w:rPr>
        <w:t>65</w:t>
      </w:r>
      <w:r>
        <w:t xml:space="preserve">, todos leídos a texto completo; exigirlo dejó fuera 7 de los 9 estudios con diseño comparativo. Casos únicos, 52,3 %; comparativos, 3,1 %; sin clase de resistencia asignable, 70,8 %; el criterio de idioma eliminó 35 estudios más. En 43 de los 73 brazos (58,9 %) no consta definición operativa del éxito clínico, y solo 2 reúnen diseño comparativo, numerador, denominador y definición. Uno no separa </w:t>
      </w:r>
      <w:r>
        <w:rPr>
          <w:i/>
        </w:rPr>
        <w:t>P. aeruginosa</w:t>
      </w:r>
      <w:r>
        <w:t xml:space="preserve"> y el otro mide un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comprobación sobre el cuerpo se repitió el 6 de octubre de 2026 sobre los 65 estudios del corpus vigente con texto completo, y los 65 están en inglés. Los 3 estudios sin texto completo cuyo idioma solo pudo probarse sobre un resumen en inglés, en revistas que no publican de forma nativa en inglés, se excluyeron (sección 3.1.1).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 Un estudio entra solo si se dispone del PDF de su artículo completo: el criterio se añadió el 6 de octubre de 2026, con el cribado y la extracción terminados, y la sección 2.9 lo fecha y mide su efecto.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Las ejecuciones documentadas de las búsquedas son del 3 y el 4 de agosto de 2026, y la exportación de BVS se incorporó al corpus el 10 de agosto; la ejecución de Scopus cuya exportación entró al corpus no tiene fecha registrada, y el fichero exportado de su brazo B se terminó de escribir el 5 de agosto.</w:t>
      </w:r>
    </w:p>
    <w:p>
      <w:r>
        <w:t>Según declara D.V. (8 de octubre de 2026), diseñó las ecuaciones con la participación del modelo de lenguaje cuya intervención se declara en la sección 2.4 y las ejecutó en cada interfaz con la guía del modelo; los mensajes de los commits del 3 de agosto de 2026, que redactó el modelo, narran esa ejecución en primera persona. Los registros de PubMed y de ClinicalTrials.gov que entraron al corpus se descargaron por API con guiones escritos por el modelo, y los recuentos de ClinicalTrials.gov se cuadraron con los de la interfaz. Las ecuaciones se aportan íntegras como suplemento, con la sintaxis literal de cada interfaz y el número de resultados, de modo que cualquiera puede repetirlas. BVS y SciELO se incluyeron para no inclinar la revisión hacia la literatura anglosajona, y aportaron 2 de los 233 informes que llegaron a texto completo: cubren Iberoamérica, y de los 24 estudios que declaran procedencia, 9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acabaron usando un </w:t>
      </w:r>
      <w:r>
        <w:rPr>
          <w:b/>
        </w:rPr>
        <w:t>vocabulario cerrado de seis códigos</w:t>
      </w:r>
      <w:r>
        <w:t xml:space="preserve"> (ORG, REV, SEC, LAB, VET, OFF), pero </w:t>
      </w:r>
      <w:r>
        <w:rPr>
          <w:b/>
        </w:rPr>
        <w:t>no estaba fijado antes de empezar</w:t>
      </w:r>
      <w:r>
        <w:t>: las decisiones del primer día de cribado de títulos, el 4 de agosto de 2026, llevan el motivo en texto libre, y los seis códigos, cuya redacción procede de esos textos, se usaron desde el día siguiente; las exclusiones de ese primer día se asignaron después a un código. Ese mismo día se añadieron, a mitad de lote, dos reglas que concretan los criterios: las endolisinas aisladas quedan fuera por la intervención, y los informes veterinarios, por la población. Un motivo que no encaje en uno de los seis no recibe un código improvisado sobre la marcha: el registro avanza a la etapa siguiente en lugar de excluirse.</w:t>
      </w:r>
    </w:p>
    <w:p>
      <w:r>
        <w:t xml:space="preserve">La etapa 1 es determinista: la ejecuta un script y cada exclusión nombra la regla que disparó. Las decisiones registro a registro de las etapas 2 y 3 las emitió un modelo de lenguaje (Claude Opus 5, Anthropic) como </w:t>
      </w:r>
      <w:r>
        <w:rPr>
          <w:b/>
        </w:rPr>
        <w:t>revisor único, sin duplicación</w:t>
      </w:r>
      <w:r>
        <w:t>: 13 917 decisiones de título y 460 de resumen. D.V. fue el único revisor humano. Según declara (8 de octubre de 2026), examinó uno a uno los informes que superaron el cribado, pero ese examen no quedó registrado. La agrupación de esos informes en estudios la propuso un guion escrito por el modelo, y se aporta íntegra (S5). Los registros que el modelo excluyó no los releyó ningún humano, salvo la muestra de la sección 2.5. Cada decisión quedó registrada con su motivo y su marca de tiempo en un registro solo-anexar que se aporta íntegro (S3).</w:t>
      </w:r>
    </w:p>
    <w:p>
      <w:r>
        <w:t>La concordancia entre el modelo y un lector humano no se midió sobre lo que el modelo admitió; sobre 350 excluidos, el lector del recribado (sección 2.5) coincidió con el modelo en 344 en la primera pasada y en los 350 tras contrastar los criterios. Contra el riesgo de falso negativo la revisión opone la auditoría de control positivo de la sección 2.5: se comprobó tras cada etapa de cribado que ninguno de los 40 estudios del conjunto de control comprobables por PMID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procede de los cuadernos que entregaron los dos revisores, que el canal generó en blanco. El modelo intervino alrededor de ella: escribió esos cuadernos, unió en uno las dos pasadas que entregó el segundo revisor, comparó las dos extracciones, redactó las reglas de desenlace —que, según declara D.V., decidieron los dos autores, aunque el registro del 12 de agosto de 2026 las dejó como propuesta sin ratificar— y tradujo a categorías las correcciones que firmaron tras releer los artículos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42 estudios conocidos a priori como elegibles, procedentes del metaanálisis exploratorio de julio de 2026, que se hizo con asistencia de modelos de lenguaje; la comprobación automática alcanzaba a los 40 que tenían PMID. Las ecuaciones de búsqueda se diseñaron para recuperar ese conjunto, de modo que la auditoría acota lo que pierde la selección y no la sensibilidad de la búsqueda.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de cribado (40 de 40 comprobables) hasta la enmienda de idioma, que excluyó en la etapa de resumen a Ronit 2024 (sección 2.9). No sigue a los controles después del cribado: de los 42, 35 siguen en el corpus final; además de Ronit 2024, salieron Leitner 2021, por no haberse podido leer su texto, y cinco por no disponer del artículo completo.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la recribó en Rayyan un solo revisor (D.V.), en modo ciego respecto del veredicto original y, en la primera pasada, sin los criterios a la vista. Los 6 registros que marcó como incluibles resultaron, contrastados por D.V. con los criterios de la sección 2.2, trabajo de laboratorio, de modelización o revisión sin datos primarios, y los reclasificó.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tuvo 21 variables de datos, las categóricas con vocabulario controlado; no consta un piloteo documentado. La extracción se hizo </w:t>
      </w:r>
      <w:r>
        <w:rPr>
          <w:b/>
        </w:rPr>
        <w:t>por duplicado</w:t>
      </w:r>
      <w:r>
        <w:t xml:space="preserve"> entre los dos revisores, pero su independencia no está acreditada: en la columna de texto libre que localiza cada dato, el cuaderno que el segundo revisor entregó el 26 de agosto de 2026 coincide carácter por carácter con el del primero en 107 de las 107 filas comparables, con las mismas erratas —«MATERILAES Y METODOS», 49 veces—, cuando el 23 de agosto no coincidía en ninguna. Un revisor extrajo los 124 estudios que entonces tenían publicación recuperable —65 tras las exclusiones de la sección 3.1.1— y el segundo extrajo 122 de ellos, de modo que el 98 % de lo extraído tiene doble extracción; de los 65 estudios del corpus vigente, la tienen 65.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Por lo dicho, esa concordancia no corresponde a dos lecturas independientes y debe leerse como un máximo. Hay 539 de 541 desacuerdos adjudicados. El registro de adjudicación anota un único responsable en 525 de las 541 filas (293 D.V. y 232 N.T.) y a los dos revisores en 14: las que quedaron abiertas —10 por el diseño del estudio, donde el formulario no ofrecía la opción que los revisores necesitaban, y 4 por datos que exigían releer el artículo—, firmadas por los dos el 14 de septiembre de 2026. Las 2 restantes se habían cerrado antes aplicando una regla mecánica sobre una comparación posteriormente rehecha, de modo que no llevan firma conjunta. El registro completo, resuelto a resuelto, se aporta como suplemento.</w:t>
      </w:r>
    </w:p>
    <w:p>
      <w:r>
        <w:rPr>
          <w:b/>
        </w:rPr>
        <w:t>Relectura dirigida tras la adjudicación.</w:t>
      </w:r>
      <w:r>
        <w:t xml:space="preserve"> Tres preguntas no se podían contestar con el formulario y se respondieron volviendo al artículo, con un cuaderno por pregunta en el que cada conclusión lleva la frase o la tabla en que se apoya y la firma de los dos autores, fechada el 30 de septiembre de 2026: la clase de resistencia de los 70 estudios que entonces tenían texto completo, comprobada contra el antibiograma publicado (sección 3.4, anexo S23); el comparador, el tiempo cero, el tiempo de evaluación, las cointervenciones, las pérdidas y el estimando de los 14 estudios con diseño comparativo, 11 de ellos con texto (sección 3.7, anexo S24), y los pares de estudios que podían describir a los mismos pacientes (sección 4.4, anexo S21). La relectura la hicieron los dos autores, que leyeron cada uno los artículos completos y comprobaron contra la figura los antibiogramas que el artículo solo da en imagen; además, cada frase citada se buscó de forma automática en el texto de su PDF. Las correcciones que la relectura deja inequívocas entran en la extracción como correcciones firmadas, con el valor anterior y la cita; las que dejaban un brazo con más de un valor, y las exclusiones que la relectura puso de manifiesto, las decidieron y firmaron los dos autores el 1 y el 3 de octubre de 2026.</w:t>
      </w:r>
    </w:p>
    <w:p>
      <w:r>
        <w:t>La caracterización estructural del corpus (secciones 3.1 a 3.4, tablas 1 a 4) procede de una pre-extracción sistemática desde el resumen de los 65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pStyle w:val="Heading2"/>
      </w:pPr>
      <w:r>
        <w:t>2.7 Riesgo de sesgo y certeza</w:t>
      </w:r>
    </w:p>
    <w:p>
      <w:r>
        <w:t xml:space="preserve">El riesgo de sesgo se evalúa </w:t>
      </w:r>
      <w:r>
        <w:rPr>
          <w:b/>
        </w:rPr>
        <w:t>solo en los estudios con diseño comparativo</w:t>
      </w:r>
      <w:r>
        <w:t>: los 9 que el diseño adjudicado sobre el artículo identifica como comparativos, todos con texto completo, como el resto del corpus desde el criterio de la sección 2.9. Los ensayos aleatorizados con RoB 2 [@Sterne2019_rob2] y los no aleatorizados y las cohortes con ROBINS-I [@Sterne2016_robinsi].</w:t>
      </w:r>
    </w:p>
    <w:p>
      <w:r>
        <w:t xml:space="preserve">La evaluación se emite </w:t>
      </w:r>
      <w:r>
        <w:rPr>
          <w:b/>
        </w:rPr>
        <w:t>a nivel de dominio</w:t>
      </w:r>
      <w: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[@Murad2018_casereports; @Munn2020_jbicaseseries].</w:t>
      </w:r>
    </w:p>
    <w:p>
      <w:r>
        <w:rPr>
          <w:b/>
        </w:rPr>
        <w:t>Hubo dos cuadernos, uno a nombre de cada autor, pero su independencia no está acreditada.</w:t>
      </w:r>
      <w:r>
        <w:t xml:space="preserve"> La noche del 4 al 5 de septiembre de 2026 los dos traían todos los juicios idénticos y, vueltos a guardar con dos segundos de diferencia, seguían compartiendo 7 418 caracteres idénticos en las notas de apoyo; el registro de ese día concluye que un cuaderno salió del otro. La evaluación se declaró entonces por consenso: el canal generó un cuaderno con los juicios coincidentes precargados y los discrepantes en blanco, y los dos autores lo firmaron el 9 de septiembre de 2026. La concordancia entre los dos cuadernos se reporta en la sección 3.7, pero no mide dos evaluaciones independientes. Un estudio, incorporado a la evaluación después de los demás, tiene una sola lectura y se declara como tal.</w:t>
      </w:r>
    </w:p>
    <w:p>
      <w:r>
        <w:rPr>
          <w:b/>
        </w:rPr>
        <w:t>GRADE no se aplica</w:t>
      </w:r>
      <w:r>
        <w:t>, y el motivo no depende de lo anterior: califica la certeza de una estimación agrupada y esta revisión no presenta ninguna. La sección 3.6 muestra que solo 2 de los 73 brazos reúnen los requisitos mínimos para agregar, y ninguno los conserva tras aplicar los criterios de elegibilidad. Calificar la certeza de un resultado que no existe sería un trámite, no una evaluación [@Guyatt2011_grade].</w:t>
      </w:r>
    </w:p>
    <w:p>
      <w:r>
        <w:t>La sección 3.7 reporta los 68 juicios y la tabla de dominios.</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Enmiendas al protocolo</w:t>
      </w:r>
    </w:p>
    <w:p>
      <w: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42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solo entran los estudios con el artículo completo.</w:t>
      </w:r>
      <w:r>
        <w:t xml:space="preserve"> Se adoptó el 2 de septiembre de 2026 para un estudio y se amplió el 6 de octubre de 2026 a todos, las dos veces con el cribado concluido y la segunda, además, con la extracción terminada.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pudo leer</w:t>
      </w:r>
      <w:r>
        <w:t>, que es una propiedad del proceso y no del estudio.</w:t>
      </w:r>
    </w:p>
    <w:p>
      <w:r>
        <w:t xml:space="preserve">Su efecto medido: excluye </w:t>
      </w:r>
      <w:r>
        <w:rPr>
          <w:b/>
        </w:rPr>
        <w:t>4 estudios</w:t>
      </w:r>
      <w:r>
        <w:t xml:space="preserve"> con el código NOREC y </w:t>
      </w:r>
      <w:r>
        <w:rPr>
          <w:b/>
        </w:rPr>
        <w:t>63</w:t>
      </w:r>
      <w:r>
        <w:t xml:space="preserve"> con el código NOPDF. El 2 de septiembre salió un ensayo aleatorizado del que solo existe una copia en un repositorio institucional, en versión previa a revisión por pares y tras una barrera de acceso automatizado. El 6 de octubre los dos autores excluyeron con el mismo código 3 estudios cuyo idioma, que es criterio de la sección 2.2, solo pudo comprobarse sobre un resumen en inglés de revistas que no publican de forma nativa en inglés: EST-045 y EST-059, de una revista rusa, y EST-173, de una griega. Ese mismo día firmaron ampliar el criterio a </w:t>
      </w:r>
      <w:r>
        <w:rPr>
          <w:b/>
        </w:rPr>
        <w:t>todo estudio sin el PDF del artículo completo con acceso</w:t>
      </w:r>
      <w:r>
        <w:t xml:space="preserve"> (código NOPDF): 21 estudios cuyo artículo no se obtuvo —3 de ellos solo existen como resumen de congreso— y 42 que solo existen como ficha de registro de ensayo. El corpus pasó de 128 a 65 estudios.</w:t>
      </w:r>
    </w:p>
    <w:p>
      <w:r>
        <w:t xml:space="preserve">Hasta esa fecha esta misma sección desaconsejaba generalizar NOREC, y el motivo sigue en pie: con el criterio ampliado, la recuperación de texto completo del corpus es del 100 % </w:t>
      </w:r>
      <w:r>
        <w:rPr>
          <w:b/>
        </w:rPr>
        <w:t>por construcción</w:t>
      </w:r>
      <w:r>
        <w:t xml:space="preserve">, y el sesgo de recuperación que la sección 3.2 medía dentro del corpus deja de poder medirse ahí. Por eso se mide como </w:t>
      </w:r>
      <w:r>
        <w:rPr>
          <w:b/>
        </w:rPr>
        <w:t>efecto del criterio</w:t>
      </w:r>
      <w:r>
        <w:t xml:space="preserve"> (Tabla 3). Contando las dos fechas, el criterio deja fuera 67 estudios, y no son una muestra aleatoria: se lleva </w:t>
      </w:r>
      <w:r>
        <w:rPr>
          <w:b/>
        </w:rPr>
        <w:t>7 de los 9 diseños comparativos (77,8 %)</w:t>
      </w:r>
      <w:r>
        <w:t xml:space="preserve"> y 5 de los 7 ensayos aleatorizados. Los autores lo adoptaron conociendo ese efecto, y se declara aquí, con su fecha, en lugar de presentarse como si hubiera regido desde el principio.</w:t>
      </w:r>
    </w:p>
    <w:p>
      <w:r>
        <w:rPr>
          <w:b/>
        </w:rPr>
        <w:t>Una tercera enmienda, menor: NOORG.</w:t>
      </w:r>
      <w:r>
        <w:t xml:space="preserve"> El 14 de septiembre de 2026 los dos autores firmaron un código nuevo para las fichas de registro que no declaran organismo alguno, de modo que el criterio de población no puede verificarse ni a favor ni en contra; excluyó 7 estudios (sección 3.1.1). Como NOREC, se refiere a lo que puede verificarse y no a lo que el estudio dice. Los códigos PRO e INT, añadidos el 1 de septiembre de 2026, no cambian los criterios —la sección 2.2 ya exigía pacientes tratados con bacteriófagos— y solo dan nombre a motivos que el vocabulario original no tenía.</w:t>
      </w:r>
    </w:p>
    <w:p>
      <w:pPr>
        <w:pStyle w:val="Heading1"/>
      </w:pPr>
      <w:r>
        <w:t>3. Resultados</w:t>
      </w:r>
    </w:p>
    <w:p>
      <w:pPr>
        <w:pStyle w:val="Heading2"/>
      </w:pPr>
      <w:r>
        <w:t>3.1 Selección de los estudios</w:t>
      </w:r>
    </w:p>
    <w:p>
      <w:r>
        <w:t xml:space="preserve">Las ocho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183 estudios evaluados para elegibilidad</w:t>
      </w:r>
      <w:r>
        <w:t xml:space="preserve">. De ellos, </w:t>
      </w:r>
      <w:r>
        <w:rPr>
          <w:b/>
        </w:rPr>
        <w:t>118 salieron del corpus</w:t>
      </w:r>
      <w:r>
        <w:t xml:space="preserve">: 63 por no disponer del PDF del artículo completo (sección 2.9) y 55 por los criterios de elegibilidad: 44 por incumplirlos, comprobado sobre el artículo o sobre la ficha del registro, y 11 porque no pudieron verificarse; el apartado siguiente los detalla. El cuerpo de evidencia queda en </w:t>
      </w:r>
      <w:r>
        <w:rPr>
          <w:b/>
        </w:rPr>
        <w:t>65 estudios</w:t>
      </w:r>
      <w:r>
        <w:t>, que agrupan 80 informes: 60 con un solo informe y 5 con varios, hasta un máximo de once informes de un mismo ensayo. Los 134 informes de registro de ensayos no son una corriente aparte de esa cifra: están dentro de los 23 057 identificados (121 de ClinicalTrials.gov, 10 de CTIS y 3 de EudraCT), y el diagrama los separa a partir del cribado porque PRISMA 2020 pide declarar las dos corrientes.</w:t>
      </w:r>
    </w:p>
    <w:p>
      <w:pPr>
        <w:pStyle w:val="Heading2"/>
      </w:pPr>
      <w:r>
        <w:t>3.1.1 Los 118 estudios que el cribado admitió y que salieron después</w:t>
      </w:r>
    </w:p>
    <w:p>
      <w:r>
        <w:rPr>
          <w:b/>
        </w:rPr>
        <w:t>Sesenta y tres salieron por no disponer del artículo completo</w:t>
      </w:r>
      <w:r>
        <w:t xml:space="preserve"> (código NOPDF, sección 2.9): 21 estudios cuyo artículo no se obtuvo —3 de ellos solo existen como resumen de congreso— y 42 que solo existen como ficha de registro de ensayo, sin publicación asociada localizable. De ellos no se afirma que incumplan los criterios de la sección 2.2: nunca se comprobaron contra el artículo, porque esta revisión no pudo leerlo. Los otros 55 salieron por los criterios: 44 por incumplirlos y 11 porque no pudieron verificarse (NOREC y NOORG).</w:t>
      </w:r>
    </w:p>
    <w:p>
      <w:r>
        <w:rPr>
          <w:b/>
        </w:rPr>
        <w:t>Treinta y ocho salieron sobre su publicación o por no poder leerla.</w:t>
      </w:r>
      <w:r>
        <w:t xml:space="preserve"> Se excluyeron por ocho motivos, y ninguno es una discrepancia de criterio: son estudios que no cumplen lo que la sección 2.2 ya exigía. </w:t>
      </w:r>
      <w:r>
        <w:rPr>
          <w:b/>
        </w:rPr>
        <w:t>Treinta</w:t>
      </w:r>
      <w:r>
        <w:t xml:space="preserve"> salieron al juzgar su artículo, leyéndolo en todos los casos salvo un editorial, juzgado por su indexación. </w:t>
      </w:r>
      <w:r>
        <w:rPr>
          <w:b/>
        </w:rPr>
        <w:t>Dieciséis</w:t>
      </w:r>
      <w:r>
        <w:t xml:space="preserve"> no tienen a </w:t>
      </w:r>
      <w:r>
        <w:rPr>
          <w:i/>
        </w:rPr>
        <w:t>P. aeruginosa</w:t>
      </w:r>
      <w:r>
        <w:t xml:space="preserve"> en ningún paciente —aparece en el espectro declarado del producto de fagos, en la introducción, en la discusión o en la lista de referencias—; uno de ellos no nombra microorganismo alguno. Cinco de ellos se detectaron al comprobar la clase de resistencia contra el artículo (sección 3.4), y los excluyeron los dos autores el 1 y el 3 de octubre de 2026. </w:t>
      </w:r>
      <w:r>
        <w:rPr>
          <w:b/>
        </w:rPr>
        <w:t>Cinco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 su exclusión la firmó solo D.V.</w:t>
      </w:r>
    </w:p>
    <w:p>
      <w:r>
        <w:rPr>
          <w:b/>
        </w:rPr>
        <w:t>Cuatro más</w:t>
      </w:r>
      <w:r>
        <w:t xml:space="preserve"> salieron por </w:t>
      </w:r>
      <w:r>
        <w:rPr>
          <w:b/>
        </w:rPr>
        <w:t>idioma</w:t>
      </w:r>
      <w:r>
        <w:t xml:space="preserve">, y se detectaron de otro modo. Los cuatro se publicaron en la misma revista rusa, y el criterio de la sección 2.2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casi todos los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eran </w:t>
      </w:r>
      <w:r>
        <w:rPr>
          <w:b/>
        </w:rPr>
        <w:t>29 de los 95 estudios extraíbles de entonces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rPr>
          <w:b/>
        </w:rPr>
        <w:t>Cuatro</w:t>
      </w:r>
      <w:r>
        <w:t xml:space="preserve"> salieron, por último, por </w:t>
      </w:r>
      <w:r>
        <w:rPr>
          <w:b/>
        </w:rPr>
        <w:t>NOREC</w:t>
      </w:r>
      <w:r>
        <w:t xml:space="preserve"> (sección 2.9): el texto completo no pudo leerse y, sin él, un criterio no pudo verificarse contra el artículo. Uno es el ensayo aleatorizado que describe la sección 2.9, cuya exclusión firmó solo D.V. Los otros tres —EST-045, EST-059 y EST-173— son consecuencia de ese mismo defecto: solo tienen un resumen en inglés, dos en una revista rusa y uno en una griega que no publican de forma nativa en inglés, y sin el artículo su idioma no puede comprobarse. Los excluyeron los dos autores el 6 de octubre de 2026.</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28 son la otra cara de esa limitación —se cuentan los que tienen guardada una copia del texto; un artículo leído en la web del editor y un editorial juzgado por su indexación no la tienen—, y son el </w:t>
      </w:r>
      <w:r>
        <w:rPr>
          <w:b/>
        </w:rPr>
        <w:t>30,1 %</w:t>
      </w:r>
      <w:r>
        <w:t xml:space="preserve"> de los 93 estudios cuyo texto completo se pudo leer. Es un suelo, no un total: los 63 que salieron por no disponer del artículo nunca se comprobaron contra él.</w:t>
      </w:r>
    </w:p>
    <w:p>
      <w:r>
        <w:rPr>
          <w:b/>
        </w:rPr>
        <w:t>Otros 17 estudios salieron por una vía distinta: la ficha de su registro.</w:t>
      </w:r>
      <w:r>
        <w:t xml:space="preserve"> Los 38 anteriores tienen publicación; estos no tienen ninguna. Entraron al corpus porque su registro exportado traía </w:t>
      </w:r>
      <w:r>
        <w:rPr>
          <w:b/>
        </w:rPr>
        <w:t>solo el título</w:t>
      </w:r>
      <w:r>
        <w:t xml:space="preserve">, sin resumen y sin términos MeSH, de modo que el cribado no dispuso de nada con lo que descartarlos. Se contaron </w:t>
      </w:r>
      <w:r>
        <w:rPr>
          <w:b/>
        </w:rPr>
        <w:t>29 fichas</w:t>
      </w:r>
      <w:r>
        <w:t xml:space="preserve"> en esa situación; el modelo descargó la ficha completa de cada una de ClinicalTrials.gov y del registro europeo CTIS, las leyó una por una y propuso, con su frase, un veredicto para cada una, que firmaron los dos autores. </w:t>
      </w:r>
      <w:r>
        <w:rPr>
          <w:b/>
        </w:rPr>
        <w:t>12</w:t>
      </w:r>
      <w:r>
        <w:t xml:space="preserve"> nombran a </w:t>
      </w:r>
      <w:r>
        <w:rPr>
          <w:i/>
        </w:rPr>
        <w:t>P. aeruginosa</w:t>
      </w:r>
      <w:r>
        <w:t xml:space="preserve"> entre los organismos de la población que van a tratar y superaron el criterio de población; como ninguna tiene artículo publicado, salieron después por el criterio del texto completo (sección 2.9). </w:t>
      </w:r>
      <w:r>
        <w:rPr>
          <w:b/>
        </w:rPr>
        <w:t>8</w:t>
      </w:r>
      <w:r>
        <w:t xml:space="preserve"> declaran otro organismo en sus criterios de elegibilidad —</w:t>
      </w:r>
      <w:r>
        <w:rPr>
          <w:i/>
        </w:rPr>
        <w:t>S. aureus</w:t>
      </w:r>
      <w:r>
        <w:t xml:space="preserve">, </w:t>
      </w:r>
      <w:r>
        <w:rPr>
          <w:i/>
        </w:rPr>
        <w:t>S. epidermidis</w:t>
      </w:r>
      <w:r>
        <w:t xml:space="preserve">, </w:t>
      </w:r>
      <w:r>
        <w:rPr>
          <w:i/>
        </w:rPr>
        <w:t>E. coli</w:t>
      </w:r>
      <w: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i/>
        </w:rPr>
        <w:t>E. coli</w:t>
      </w:r>
      <w:r>
        <w:t xml:space="preserve"> en niños con diarrea, cuyo título indexado —«Antibacterial Treatment Against Diarrhea in Oral Rehydration Solution»— no permite saberlo.</w:t>
      </w:r>
    </w:p>
    <w:p>
      <w:r>
        <w:t xml:space="preserve">Los </w:t>
      </w:r>
      <w:r>
        <w:rPr>
          <w:b/>
        </w:rPr>
        <w:t>7 restantes</w:t>
      </w:r>
      <w:r>
        <w:t xml:space="preserve"> no declaran bacteria alguna: su ficha no permite verificar el criterio ni a favor ni en contra. Excluirlos obligó a una enmienda del protocolo, porque ningún código del vocabulario decía eso. </w:t>
      </w:r>
      <w:r>
        <w:rPr>
          <w:b/>
        </w:rPr>
        <w:t>NOORG</w:t>
      </w:r>
      <w: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r>
        <w:t xml:space="preserve">Al leerlas apareció además un </w:t>
      </w:r>
      <w:r>
        <w:rPr>
          <w:b/>
        </w:rPr>
        <w:t>duplicado</w:t>
      </w:r>
      <w:r>
        <w:t>: el ensayo Phage4Cure-001 está en CTIS con dos identificadores, uno por versión del protocolo, y había entrado como dos estudios porque sus títulos difieren en dos palabras. Es un solo ensayo, comprobado y firmado, y se cuenta una sola vez.</w:t>
      </w:r>
    </w:p>
    <w:p>
      <w:r>
        <w:t xml:space="preserve">Los 65 estudios del corpus tienen todos su artículo completo. Antes del criterio del texto completo, </w:t>
      </w:r>
      <w:r>
        <w:rPr>
          <w:b/>
        </w:rPr>
        <w:t>42 de los 128 estudios eran únicamente fichas de registro de ensayo</w:t>
      </w:r>
      <w:r>
        <w:t>, sin publicación asociada localizable. Esa cifra, que el criterio saca del corpus pero no del campo, basta por sí sola para describir una literatura en la que casi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Los 65 estudios del corpus tienen su texto completo, obtenido por vías de acceso abierto legítimas. Desde el criterio de la sección 2.9 esa es la condición de entrada, de modo que la tasa del </w:t>
      </w:r>
      <w:r>
        <w:rPr>
          <w:b/>
        </w:rPr>
        <w:t>100,0 %</w:t>
      </w:r>
      <w:r>
        <w:t xml:space="preserve"> no mide la recuperación, sino el criterio. La recuperación se mide justo antes de él: el texto se había obtenido para </w:t>
      </w:r>
      <w:r>
        <w:rPr>
          <w:b/>
        </w:rPr>
        <w:t>65 de los 86 estudios con artículo o resumen (75,6 %)</w:t>
      </w:r>
      <w:r>
        <w:t>. Los 21 restantes no se obtuvieron. Su disponibilidad se había recomprobado el 2 de septiembre de 2026 contra tres índices independientes —Europe PMC, OpenAlex y Semantic Scholar—, y ninguno de los 21 tenía una copia de acceso abierto localizable: unos constan sin ella y otros, entre ellos los 3 resúmenes de congreso, no constan en los índices. No se solicitaron por préstamo interbibliotecario ni a los autores: el hueco documental no está mitigado por ninguna vía adicional, y esa es la razón por la que el criterio los excluyó en lugar de dejarlos pendientes.</w:t>
      </w:r>
    </w:p>
    <w:p>
      <w:r>
        <w:t xml:space="preserve">La fracción no obtenida </w:t>
      </w:r>
      <w:r>
        <w:rPr>
          <w:b/>
        </w:rPr>
        <w:t>no era una muestra aleatoria del conjunto</w:t>
      </w:r>
      <w:r>
        <w:t xml:space="preserve"> (Tabla 3), y el criterio que la excluye tampoco lo es. Contando los 4 estudios de NOREC, los estudios que el criterio deja fuera contienen 7 de los 9 diseños comparativos, el </w:t>
      </w:r>
      <w:r>
        <w:rPr>
          <w:b/>
        </w:rPr>
        <w:t>77,8 %</w:t>
      </w:r>
      <w:r>
        <w:t>, aunque declaran menos pacientes en total. De los 7 ensayos aleatorizados identificados con artículo o resumen, el corpus conserva 2 —PhagoBurn [@Jault2019_phagoburn] y BX004-A [@Weiner2025_natcomms]—, y los otros 5 salieron por el criterio, entre ellos el de TP-102 [@NirPaz2025_med_tp102].</w:t>
      </w:r>
    </w:p>
    <w:p>
      <w:r>
        <w:t>La asimetría es en sí misma un resultado. La accesibilidad del texto completo covaría con la región de publicación y con el diseño del estudio, y el criterio del texto completo se suma a la restricción de idioma en la misma dirección: ambos empujan el corpus hacia la literatura anglosajona de acceso abierto. Una revisión que no declare ninguno de los dos transforma la pregunta sin decirlo.</w:t>
      </w:r>
    </w:p>
    <w:p>
      <w:pPr>
        <w:pStyle w:val="Heading2"/>
      </w:pPr>
      <w:r>
        <w:t>3.3 Características del cuerpo de evidencia</w:t>
      </w:r>
    </w:p>
    <w:p>
      <w:r>
        <w:t xml:space="preserve">Los 65 estudios del corpus se publicaron entre </w:t>
      </w:r>
      <w:r>
        <w:rPr>
          <w:b/>
        </w:rPr>
        <w:t>2017 y 2026</w:t>
      </w:r>
      <w:r>
        <w:t xml:space="preserve">, y el </w:t>
      </w:r>
      <w:r>
        <w:rPr>
          <w:b/>
        </w:rPr>
        <w:t>86,2 %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34 reportes de caso único (52,3 %)</w:t>
      </w:r>
      <w:r>
        <w:t xml:space="preserve">, 16 series de casos, 7 cohortes prospectivas, 2 ensayos aleatorizados, 0 ensayos no aleatorizados y 3 cohortes retrospectivas. Otros 3 no declaran su diseño de forma reconocible en el resumen. Los comparativos suman </w:t>
      </w:r>
      <w:r>
        <w:rPr>
          <w:b/>
        </w:rPr>
        <w:t>2 estudios, el 3,1 %</w:t>
      </w:r>
      <w:r>
        <w:t xml:space="preserve"> del total, y son los únicos capaces de sostener una afirmación de eficacia relativa.</w:t>
      </w:r>
    </w:p>
    <w:p>
      <w:r>
        <w:t>La procedencia geográfica, cuando consta, se reparte entre Georgia y Polonia (4 estudios cada una), Francia (3), Bélgica y Estados Unidos (2 cada una), y otros 9 orígenes con un estudio cada uno. No consta en 41 de los 65 estudios. La caída de la representación rusa respecto del corpus previo a la enmienda —de 34 estudios a 1— se debe sobre todo al criterio de idioma, no a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70,8 %</w:t>
      </w:r>
      <w:r>
        <w:t xml:space="preserve"> de los estudios: el 50,8 % no la menciona en absoluto y un 20,0 %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49,2 %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26,2 %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96,9 %</w:t>
      </w:r>
      <w:r>
        <w:t>.</w:t>
      </w:r>
    </w:p>
    <w:p>
      <w: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más de siete de cada diez estudios no declaren allí su categoría de resistencia implica que ninguna estratificación por MDR/XDR/PDR construida a partir de resúmenes puede ser correcta. Esa categoría no es solo descriptiva: es el criterio de población de la revisión. </w:t>
      </w:r>
      <w:r>
        <w:rPr>
          <w:b/>
        </w:rPr>
        <w:t>En 8 de los 73 brazos la clase queda por debajo del umbral de multirresistencia</w:t>
      </w:r>
      <w:r>
        <w:t xml:space="preserve"> (EST-001 A, EST-003 B, EST-053 A, EST-057 A, EST-088 A, EST-094 A, EST-106 A, EST-108 A). 2 son estratos dentro de estudios que sí incluyen pacientes multirresistentes, y no comprometen la elegibilidad del estudio. Los otros 6 —EST-001, EST-053, EST-057, EST-088, EST-094 y EST-106— son estudios de un solo brazo cuyo único paciente no es multirresistente. EST-001 y EST-094 se mantienen en el corpus por decisión firmada de los dos autores el 22 de septiembre de 2026, y EST-053, EST-057 y EST-088, que quedaron por debajo del umbral al comprobar su clase contra el artículo (párrafo siguiente), por la misma decisión firmada el 1 de octubre, y EST-106, que pasó por debajo del umbral al resolverse su clase ese mismo día, por la firmada el 3 de octubre. Todos se declaran aquí para que el lector pueda descontarlos.</w:t>
      </w:r>
    </w:p>
    <w:p>
      <w:r>
        <w:rPr>
          <w:b/>
        </w:rPr>
        <w:t>La clase se comprobó después contra el artículo.</w:t>
      </w:r>
      <w:r>
        <w:t xml:space="preserve"> Los dos autores releyeron los 70 estudios que entonces tenían texto completo, buscaron el antibiograma y aplicaron las definiciones de Magiorakos et al.; cada conclusión lleva la frase o la tabla del artículo en que se apoya y la firma de los dos (anexo S23). En 9 la lectura no encontró ningún paciente con </w:t>
      </w:r>
      <w:r>
        <w:rPr>
          <w:i/>
        </w:rPr>
        <w:t>P. aeruginosa</w:t>
      </w:r>
      <w:r>
        <w:t xml:space="preserve"> tratado con fagos. Los dos autores excluyeron 5 con el código ORG (EST-009, EST-055, EST-132, EST-181 y EST-208; sección 3.1.1) y mantuvieron 4, que se declaran aquí con lo que el artículo dice: en EST-152 y EST-170 la única mención de </w:t>
      </w:r>
      <w:r>
        <w:rPr>
          <w:i/>
        </w:rPr>
        <w:t>P. aeruginosa</w:t>
      </w:r>
      <w:r>
        <w:t xml:space="preserve"> es la descripción del paciente de otro estudio del corpus (EST-049 y EST-106), y en EST-129 y EST-135 el paciente tuvo </w:t>
      </w:r>
      <w:r>
        <w:rPr>
          <w:i/>
        </w:rPr>
        <w:t>P. aeruginosa</w:t>
      </w:r>
      <w:r>
        <w:t xml:space="preserve">, pero el fago no se dirigió contra ella. Lo mismo ocurre en EST-051, que también se mantiene. En EST-096, que se mantiene por la misma decisión, la paciente 10 sí recibió un fago contra </w:t>
      </w:r>
      <w:r>
        <w:rPr>
          <w:i/>
        </w:rPr>
        <w:t>P. aeruginosa</w:t>
      </w:r>
      <w:r>
        <w:t xml:space="preserve"> (Ps1N/734), pero las dos tablas del artículo se contradicen sobre si la bacteria seguía presente al iniciar el tratamiento. De los 65 estudios con texto completo que quedan en el corpus, la clase pudo comprobarse en 30: en 22 contra un antibiograma impreso y en 8 contra una descripción de la sensibilidad en el texto; en 31 no hay con qué comprobarla —el antibiograma no se publica o está en un material suplementario que no se obtuvo—, y los 4 restantes son los mantenidos sin </w:t>
      </w:r>
      <w:r>
        <w:rPr>
          <w:i/>
        </w:rPr>
        <w:t>P. aeruginosa</w:t>
      </w:r>
      <w:r>
        <w:t xml:space="preserve"> tratada. De los 30 comprobados, la clase coincidió con la codificada en 18; en 5 la extracción la daba por no clasificable y el artículo permitía asignarla —3 por debajo del umbral y 2 XDR—; en 2 era más grave que la codificada (EST-043 y EST-047); en 3 la clase declarada no se confirmó (EST-015, EST-030 y EST-042), y en 2 cambia entre pacientes o entre aislados del mismo brazo (EST-124 y EST-169). Las 35 correcciones que la lectura deja inequívocas para el brazo entero —8 de clase, 17 de su procedencia y 10 del criterio DTR— entraron en la extracción con la firma de los dos autores. Los 9 estudios en que dejaba un brazo con más de un valor los resolvieron los dos autores el 1 de octubre de 2026: en 5 se corrigió la extracción (EST-047, EST-048, EST-058, EST-106 y EST-124) y en 4 se dejó como estaba (EST-004, EST-019, EST-042 y EST-169). Dos de esos cuatro se declaran expresamente: EST-042 conserva la PDR que declaran sus autores aunque su propio antibiograma no la sostiene, y EST-169 mantiene en un mismo brazo un paciente por debajo del umbral y otro XDR.</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73 brazos del corpus vigente.</w:t>
      </w:r>
    </w:p>
    <w:p>
      <w:r>
        <w:t xml:space="preserve">La completitud es desigual y, en el mejor de los casos, parcial. Los eventos adversos son lo que más se reporta con denominador (89,0 % de los brazos) y la emergencia de resistencia al fago lo que menos (35,6 %), pese a ser el desenlace que decide si la intervención conserva su utilidad. Los 73 brazos son de estudios con el artículo completo leído (sección 2.9), de modo que un desenlace que no consta es un desenlace que el artículo no reporta, no un hueco documental de esta revisión. El éxito clínico, que es el que las síntesis publicadas agregan, consta con numerador y denominador en el 87,7 %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b/>
        </w:rPr>
        <w:t>hoy ningún brazo declara una proporción imposible</w:t>
      </w:r>
      <w: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r>
        <w:t xml:space="preserve">Ese 87,7 % es, sin embargo, engañoso si se lee como disponibilidad para agregar. </w:t>
      </w:r>
      <w:r>
        <w:rPr>
          <w:b/>
        </w:rPr>
        <w:t>En 43 de los 73 brazos (58,9 %) no consta una definición operativa de éxito clínico</w:t>
      </w:r>
      <w:r>
        <w:t>, y en los 43 los revisores lo establecieron leyendo el artículo: 42 declaran un número de pacientes con «buen resultado» sin decir qué había que observar para contarlo, y 1 dejó el campo sin dato. Un numerador sin definición no nombra nada comparable con el numerador de otro estudio.</w:t>
      </w:r>
    </w:p>
    <w:p>
      <w:r>
        <w:t xml:space="preserve">El diseño consta en los 73 brazos: </w:t>
      </w:r>
      <w:r>
        <w:rPr>
          <w:b/>
        </w:rPr>
        <w:t>4 brazos son ensayos</w:t>
      </w:r>
      <w:r>
        <w:t xml:space="preserve"> (aleatorizados o no) y </w:t>
      </w:r>
      <w:r>
        <w:rPr>
          <w:b/>
        </w:rPr>
        <w:t>8 son cohortes</w:t>
      </w:r>
      <w:r>
        <w:t>. La sección 3.3 y la tabla 1 llaman «comparativos» solo a los ensayos, con el diseño que declara el resumen, y por eso allí la cifra es 2 estudios: cuando en esta sección se dice «comparativo» se incluyen también las cohortes, con el diseño adjudicado sobre el artículo, y son 12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73</w:t>
      </w:r>
      <w:r>
        <w:t>. Los dos siguientes son los criterios de elegibilidad que esta misma revisión declara en la sección 2.2, y solo uno de esos 2 los sobrevive.</w:t>
      </w:r>
    </w:p>
    <w:p>
      <w:r>
        <w:t xml:space="preserve">El primero es que el desenlace pueda atribuirse a </w:t>
      </w:r>
      <w:r>
        <w:rPr>
          <w:i/>
        </w:rPr>
        <w:t>P. aeruginosa</w:t>
      </w:r>
      <w:r>
        <w:t>. La sección 2.2 admite estudios con varios patógenos solo cuando el subgrupo es separable, y en uno de los dos la extracción anota que el artículo no separa los datos: su numerador cuenta pacientes de varias especies. Queda 1. El segundo es que la administración sea terapéutica, y ese brazo lo es.</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73 brazos de esta literatura, </w:t>
      </w:r>
      <w:r>
        <w:rPr>
          <w:b/>
        </w:rPr>
        <w:t>ninguno reúne a la vez las condiciones aritméticas, los criterios de elegibilidad y la métrica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Más de la mitad de los estudios (52,3 %) son casos únicos, en los que la proporción de éxito solo puede tomar los valores 0 o 1 y su varianza binomial es máxima. Agregar 38 denominadores de uno con unas pocas decenas de series mayores produce una media ponderada cuyo peso lo determina el tamaño de la serie y no la calidad de la evidencia.</w:t>
      </w:r>
    </w:p>
    <w:p>
      <w:r>
        <w:rPr>
          <w:b/>
        </w:rPr>
        <w:t>Desenlace.</w:t>
      </w:r>
      <w:r>
        <w:t xml:space="preserve"> En los artículos del corpus,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Los 2 ensayos aleatorizados del corpus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efecto del criterio del texto completo documentado en la sección 3.2: 7 de los 9 diseños comparativos que el corpus habría podido aportar a una síntesis quedaron fuera de él. </w:t>
      </w:r>
      <w:r>
        <w:rPr>
          <w:b/>
        </w:rPr>
        <w:t>Por estas razones no se presenta ninguna proporción agrupada de eficacia</w:t>
      </w:r>
      <w:r>
        <w:t>, y se sostiene que las publicadas en revisiones previas descansan sobre supuestos que estos datos no verifican.</w:t>
      </w:r>
    </w:p>
    <w:p>
      <w:pPr>
        <w:pStyle w:val="Heading2"/>
      </w:pPr>
      <w:r>
        <w:t>3.7 Riesgo de sesgo de los estudios comparativos</w:t>
      </w:r>
    </w:p>
    <w:p>
      <w:r>
        <w:t>De los 2 estudios evaluados con RoB 2, el juicio global es de bajo riesgo en 1 y de algunas preocupaciones en 1. De los 7 estudios evaluados con ROBINS-I, el juicio global es sin información para juzgar en 1 y de riesgo grave en 6. El dominio que más juicios desfavorables concentra en ROBINS-I —alto riesgo en RoB 2; grave o crítico en ROBINS-I— es «sesgo por confusión», con 6 de 7. Los cuadernos de los dos revisores, en 8 de los 9 estudios evaluables, coinciden en 49 de los 60 juicios comparables (81,7 %; kappa de Cohen 0,74), una concordancia que no mide dos evaluaciones independientes (sección 2.7). Los 11 desacuerdos se resolvieron por consenso, los 11 hacia el juicio del cuaderno de D.V., ninguno hacia el del otro revisor. El estudio restante se evaluó en un cuaderno aparte y tiene una sola lectura.</w:t>
      </w:r>
    </w:p>
    <w:p>
      <w:r>
        <w:t xml:space="preserve">La etiqueta de diseño no garantiza un grupo de comparación: de los 9 evaluables, 3 lo tienen (EST-008, EST-021 y EST-108) y en 6 las notas firmadas del dominio 1 declaran que no lo hay. De los 3 con grupo, 2 comparan fago con ausencia de fago —EST-108 compara con y sin antibiótico dentro de los tratados con fago—, y los 2 dan un contraste entre brazos para </w:t>
      </w:r>
      <w:r>
        <w:rPr>
          <w:i/>
        </w:rPr>
        <w:t>P. aeruginosa</w:t>
      </w:r>
      <w:r>
        <w:t xml:space="preserve"> (EST-008 y EST-021; el de EST-008, parcial).</w:t>
      </w:r>
    </w:p>
    <w:p>
      <w:r>
        <w:rPr>
          <w:b/>
        </w:rPr>
        <w:t>Tabla 7.</w:t>
      </w:r>
      <w:r>
        <w:t xml:space="preserve"> Riesgo de sesgo por dominio de los 9 estudios comparativos evaluables. RoB 2 en los ensayos aleatorizados (cinco dominios) y ROBINS-I en los no aleatorizados y las cohortes (siete). «n. a.» marca los dominios que el instrumento no contempla, no un juicio que falte.</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ocho fuentes, sin restricción de idioma, con literatura regional y registros de ensayos incluidos. El resultado son 65 estudios con su artículo completo; la búsqueda había delimitado 218 antes de la restricción de idioma que se adoptó al final, y 118 salieron después, 63 de ellos por no disponer del artículo. Esa amplitud no habla bien de la madurez del campo: la mayor parte de lo identificado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Más de la mitad de los estudios (52,3 %) son un caso único. Solo 2 de los 65 son comparativos según el resumen. En más de siete de cada diez no puede asignarse la categoría de resistencia con la que se pretende estratificar. Y, antes del criterio del texto completo, casi uno de cada tres estudios (42 de 128) existía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 El criterio del texto completo empuja en la misma dirección: los estudios cuyo artículo no se obtuvo concentran los diseños comparativos (sección 3.2).</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42 de los 128 estudios que llegaron al criterio del texto completo fueran solo fichas de registro, sin publicación localizable, es un problema de sesgo de publicación de primer orden, y no se resuelve con métodos estadísticos; el criterio los saca de este corpus, no del campo.</w:t>
      </w:r>
    </w:p>
    <w:p>
      <w:pPr>
        <w:pStyle w:val="Heading2"/>
      </w:pPr>
      <w:r>
        <w:t>4.4 Fortalezas y limitaciones</w:t>
      </w:r>
    </w:p>
    <w:p>
      <w:r>
        <w:rPr>
          <w:b/>
        </w:rPr>
        <w:t>Fortalezas.</w:t>
      </w:r>
      <w:r>
        <w:t xml:space="preserve"> La búsqueda abarcó ocho fuentes en dos corrientes separadas —Scopus en dos brazos—, sin restringir el idioma. La selección se auditó contra un conjunto de controles positivos fijado antes de empezar: el cribado no perdió ninguno de los 40 comprobables por PMID hasta la enmienda de idioma, que se llevó uno y se declara (sección 2.9). Todo el canal es código reejecutable con claves derivadas del contenido, y una comprobación automática cuadra cada eslabón con el siguiente.</w:t>
      </w:r>
    </w:p>
    <w:p>
      <w:r>
        <w:rPr>
          <w:b/>
        </w:rPr>
        <w:t>Limitaciones.</w:t>
      </w:r>
      <w:r>
        <w:t xml:space="preserve"> Son ocho y todas materiales. </w:t>
      </w:r>
      <w:r>
        <w:rPr>
          <w:b/>
        </w:rPr>
        <w:t>Primera:</w:t>
      </w:r>
      <w:r>
        <w:t xml:space="preserve"> las decisiones del cribado de títulos y resúmenes las emitió un modelo de lenguaje como revisor único, sin duplicación (sección 2.4), con un vocabulario de motivos que no se fijó antes de empezar; lo que excluyó no lo releyó nadie salvo una muestra de 350 registros, recribada por un solo revisor, y la concordancia entre el modelo y un lector humano no se midió sobre lo que el modelo admitió. La auditoría de control positivo y el recribado acotan los falsos negativos sin descartarlos: sobre el marco de 13 661 excluidos, el recribado admite hasta 143 registros perdidos. </w:t>
      </w:r>
      <w:r>
        <w:rPr>
          <w:b/>
        </w:rPr>
        <w:t>Segunda:</w:t>
      </w:r>
      <w:r>
        <w:t xml:space="preserve"> el corpus solo admite estudios con el artículo completo (sección 2.9), un criterio que se amplió a todos el 6 de octubre de 2026, con el cribado y la extracción terminados, y que excluyó 63 estudios, 42 de ellos fichas de registro sin publicación. Depende del acceso del revisor y no del contenido del estudio, y no es neutro: se lleva 7 de los 9 diseños comparativos y 5 de los 7 ensayos aleatorizados. Con él, la recuperación de texto completo es del 100 % por construcción y el sesgo de recuperación deja de medirse dentro del corpus; se declara como efecto del criterio (Tabla 3). </w:t>
      </w:r>
      <w:r>
        <w:rPr>
          <w:b/>
        </w:rPr>
        <w:t>Tercera:</w:t>
      </w:r>
      <w:r>
        <w:t xml:space="preserve"> la búsqueda no interrogó Embase ni el ICTRP de la OMS, lo que reduce la cobertura de series de casos y resúmenes de congreso y deja la corriente de registros limitada a Estados Unidos y la Unión Europea. </w:t>
      </w:r>
      <w:r>
        <w:rPr>
          <w:b/>
        </w:rPr>
        <w:t>Cuarta:</w:t>
      </w:r>
      <w:r>
        <w:t xml:space="preserve"> se limitó a publicaciones de 2016 a 2026, de modo que describe la producción reciente y no el campo entero. </w:t>
      </w:r>
      <w:r>
        <w:rPr>
          <w:b/>
        </w:rPr>
        <w:t>Quinta:</w:t>
      </w:r>
      <w: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efecto del criterio del texto completo. Ni la extracción ni el riesgo de sesgo tienen acreditada la independencia de sus dos lecturas: los cuadernos de extracción comparten carácter por carácter una columna de texto libre (sección 2.6), y los de riesgo de sesgo, 7 418 caracteres de notas (sección 2.7). La concordancia entre los dos de riesgo de sesgo fue del 81,7 % (49 de 60 juicios; kappa de Cohen 0,74), y los 11 desacuerdos se resolvieron todos hacia el cuaderno de D.V. </w:t>
      </w:r>
      <w:r>
        <w:rPr>
          <w:b/>
        </w:rPr>
        <w:t>Sexta:</w:t>
      </w:r>
      <w:r>
        <w:t xml:space="preserve"> antes de ese criterio el texto completo se había obtenido para el 75,6 % de los estudios con artículo o resumen (65 de 86), y la fracción que faltaba, que el criterio dejó fuera, está enriquecida en diseños comparativos, de manera que lo descrito subrepresenta la parte comparativa del campo. </w:t>
      </w:r>
      <w:r>
        <w:rPr>
          <w:b/>
        </w:rPr>
        <w:t>Séptima:</w:t>
      </w:r>
      <w:r>
        <w:t xml:space="preserve"> la restricción a inglés y español se adoptó con el cribado ya terminado y eliminó 35 estudios en el cribado de resúmenes, 18 de ellos comparativos y uno del conjunto de control positivo, y 4 más al leer el texto completo; otros 3 salieron porque su idioma no pudo verificarse; empuja el corpus en la misma dirección que el sesgo de recuperación y reduce lo que esta revisión puede decir sobre la literatura de Europa del Este. </w:t>
      </w:r>
      <w:r>
        <w:rPr>
          <w:b/>
        </w:rPr>
        <w:t>Octava:</w:t>
      </w:r>
      <w:r>
        <w:t xml:space="preserve"> el corpus cuenta informes y estudios, no pacientes distintos, y contiene </w:t>
      </w:r>
      <w:r>
        <w:rPr>
          <w:b/>
        </w:rPr>
        <w:t>20 pacientes descritos en más de un estudio</w:t>
      </w:r>
      <w:r>
        <w:t xml:space="preserve">, repartidos entre 18 de los 65. Tres grupos los concentran. En el centro israelí de fagoterapia, EST-003 comparte 8 de sus pacientes: 6 con EST-070, otra serie del mismo centro, y los demás con EST-012 y EST-015; una niña de 10 años con infección de un dispositivo Berlin Heart EXCOR aparece en EST-003, EST-070 y EST-077, y una niña de 7 años con infección osteoarticular, en EST-003, EST-070 y EST-095. En la Universidad de California en San Diego, EST-034 comparte 3 pacientes con EST-049, EST-061 y EST-077. Y en el consorcio belga, EST-108 afirma que 27 de sus 100 pacientes se habían publicado antes y remite a 15 referencias, de las que </w:t>
      </w:r>
      <w:r>
        <w:rPr>
          <w:b/>
        </w:rPr>
        <w:t>7 son estudios de este corpus</w:t>
      </w:r>
      <w:r>
        <w:t xml:space="preserve"> —EST-002, EST-010, EST-016, EST-046, EST-062, EST-124 y EST-164—, que aportan 8 pacientes; a ellos se suma EST-088, publicado después, cuyo paciente coincide en infección, especies y fagos con uno de EST-108. El examen se hizo sobre los 65 textos completos y reunió 30 pares: 15 los marcó un detector por producto, país y cita, 8 los encontró la lectura del modelo del 22 de septiembre de 2026 y 7 la relectura de los autores del 30 de septiembre. 19 se confirmaron, 11 se descartaron y </w:t>
      </w:r>
      <w:r>
        <w:rPr>
          <w:b/>
        </w:rPr>
        <w:t>ninguno queda sin leer</w:t>
      </w:r>
      <w:r>
        <w:t>; el veredicto de cada par lleva la frase en que se apoya y la firma de los dos autores (anexo S21). Como la revisión no publica ninguna estimación agrupada, la duplicación no altera ninguna cifra de efecto, pero impide leer el corpus como 65 conjuntos disjuntos de pacientes.</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(según declara D.V., diseño de las búsquedas con la participación del modelo de lenguaje y su ejecución en cada interfaz con la guía del modelo; extracción de datos; riesgo de sesgo), dirección del software, la curación de datos, el análisis y la visualización, que programó y ejecutó el modelo de lenguaje, revisión de los borradores, que redactó el modelo, y administración del proyecto. </w:t>
      </w:r>
      <w:r>
        <w:rPr>
          <w:b/>
        </w:rPr>
        <w:t>N. Trelles:</w:t>
      </w:r>
      <w:r>
        <w:t xml:space="preserve"> metodología (decisión, con D.V., de las reglas de desenlace que propuso el modelo de lenguaje, según declara D.V.; el registro del 12 de agosto de 2026 las dejó como propuesta sin ratificar), investigación, extracción de datos (122 de los 124 estudios), riesgo de sesgo y validación. ‹‹N. TRELLES: REVISIÓN Y EDICIÓN DEL MANUSCRITO, SOLO CUANDO CONSTE POR ESCRITO››</w:t>
      </w:r>
    </w:p>
    <w:p>
      <w:r>
        <w:rPr>
          <w:b/>
        </w:rPr>
        <w:t>Disponibilidad de datos y código.</w:t>
      </w:r>
      <w:r>
        <w:t xml:space="preserve"> Todo el material que sostiene esta revisión se conserva en un repositorio versionado del proyecto: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‹‹DEPÓSITO PÚBLICO Y DOI — PENDIENTES DE DECISIÓN DE LOS AUTORES››. Los registros de decisión son solo-anexar y conservan cada corrección junto a la fila que sustituyen.</w:t>
      </w:r>
    </w:p>
    <w:p>
      <w:r>
        <w:rPr>
          <w:b/>
        </w:rPr>
        <w:t>Uso de inteligencia artificial.</w:t>
      </w:r>
      <w:r>
        <w:t xml:space="preserve"> Un modelo de lenguaje generativo (Claude Opus 5, Anthropic) intervino en todas las fases de esta revisión. </w:t>
      </w:r>
      <w:r>
        <w:rPr>
          <w:b/>
        </w:rPr>
        <w:t>Criterios.</w:t>
      </w:r>
      <w:r>
        <w:t xml:space="preserve"> Redactó las propuestas de criterios y de reglas que decidieron los autores: entre ellas, la unidad de inclusión por estudio y la elegibilidad de los resúmenes de congreso (5 de agosto de 2026), los códigos de exclusión añadidos después del cribado (PRO, INT y NOORG) y las reglas de desenlace, que según declara D.V. decidieron los dos autores, aunque el registro del 12 de agosto de 2026 las dejó como propuesta sin ratificar; y las dos reglas añadidas a mitad de lote el 4 de agosto, que incorporó a sus guiones de cribado. </w:t>
      </w:r>
      <w:r>
        <w:rPr>
          <w:b/>
        </w:rPr>
        <w:t>Cribado.</w:t>
      </w:r>
      <w:r>
        <w:t xml:space="preserve"> Emitió, como revisor único y sin duplicación, las decisiones registro a registro del cribado de títulos y resúmenes, incluidas las 35 exclusiones por idioma de la etapa de resumen, y la pre-extracción desde los resúmenes. El primer día de cribado escribió los motivos en texto libre; después usó seis motivos cuya redacción procede de esos textos, y no consta que los autores los fijaran antes de empezar. D.V. fue el único revisor humano: según declara, examinó uno a uno los informes que superaron el cribado, sin que ese examen quedara registrado; los que el modelo excluyó no los releyó ningún humano, salvo una muestra de 350 que recribó D.V. </w:t>
      </w:r>
      <w:r>
        <w:rPr>
          <w:b/>
        </w:rPr>
        <w:t>Búsqueda.</w:t>
      </w:r>
      <w:r>
        <w:t xml:space="preserve"> Participó en el diseño de las ecuaciones, que según declara D.V. ejecutó D.V. en cada interfaz con la guía del modelo; redactó los mensajes de los commits del 3 de agosto de 2026, que narran esa ejecución en primera persona, y descargó por API los registros de PubMed y ClinicalTrials.gov. </w:t>
      </w:r>
      <w:r>
        <w:rPr>
          <w:b/>
        </w:rPr>
        <w:t>Selección y extracción.</w:t>
      </w:r>
      <w:r>
        <w:t xml:space="preserve"> Localizó y descargó textos completos, también con un navegador; propuso la agrupación de los informes en estudios; leyó los textos completos y las fichas de registro y propuso, con su cita, las exclusiones que se apoyan en ellos, que firmaron los dos autores salvo dos que firmó D.V. solo; generó, unió y comparó los cuadernos de extracción; propuso con su cita una resolución para parte de los desacuerdos de una comparación posteriormente rehecha; extrajo las casillas del tercer paciente de EST-121, que firmó solo D.V., y propuso correcciones de modalidad que firmaron los dos; tradujo a categorías las conclusiones firmadas de la relectura y aplicó las que dejaban un valor único; y detectó y leyó primero los pares de estudios que podían compartir pacientes, antes de la relectura de los autores. </w:t>
      </w:r>
      <w:r>
        <w:rPr>
          <w:b/>
        </w:rPr>
        <w:t>Riesgo de sesgo.</w:t>
      </w:r>
      <w:r>
        <w:t xml:space="preserve"> Puso en cada casilla de los formularios, como comentario, las frases del artículo que localizó de forma automática para cada dominio, y generó el cuaderno de consenso con los juicios coincidentes precargados. </w:t>
      </w:r>
      <w:r>
        <w:rPr>
          <w:b/>
        </w:rPr>
        <w:t>Canal y redacción.</w:t>
      </w:r>
      <w:r>
        <w:t xml:space="preserve"> Escribió y ejecutó todo el código del canal, del que sale cada cifra, tabla y figura, y redactó los borradores del manuscrito, de los anexos, de la carta de presentación y de los registros de decisión. Salvo lo anterior, la extracción de datos y los juicios de riesgo de sesgo los emitieron los autores, aunque sin independencia acreditada entre sus dos lecturas (secciones 2.6 y 2.7). Cada decisión del cribado vigente está registrada con su motivo y su marca de tiempo, y se aporta íntegra (S3, S4); la primera pasada del 4 de agosto sobre el brazo A de PubMed, que el cribado del pozo sustituyó, consta en el repositorio y no en S3. D.V. asume la responsabilidad por la exactitud e integridad del trabajo; la de N.T. queda pendiente de su aprobación escrita.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65 estudios).</w:t>
      </w:r>
    </w:p>
    <w:p>
      <w:r>
        <w:rPr>
          <w:b/>
        </w:rPr>
        <w:t>Tabla 2.</w:t>
      </w:r>
      <w:r>
        <w:t xml:space="preserve"> Completitud del reporte en las variables críticas para la estratificación.</w:t>
      </w:r>
    </w:p>
    <w:p>
      <w:r>
        <w:rPr>
          <w:b/>
        </w:rPr>
        <w:t>Tabla 3.</w:t>
      </w:r>
      <w:r>
        <w:t xml:space="preserve"> Lo que el criterio del texto completo deja fuera: estudios incluidos frente a excluidos por no disponer del artículo.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73 brazos).</w:t>
      </w:r>
    </w:p>
    <w:p>
      <w:r>
        <w:rPr>
          <w:b/>
        </w:rPr>
        <w:t>Tabla 6.</w:t>
      </w:r>
      <w:r>
        <w:t xml:space="preserve"> Brazos que sobreviven a cada requisito de una proporción agrupada de éxito clínico (n = 73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recoge los estudios incluidos, todos con el texto completo leído, que es condición de entrada desde el criterio de la sección 2.9. </w:t>
      </w:r>
      <w:r>
        <w:rPr>
          <w:i/>
        </w:rPr>
        <w:t>Fuente.</w:t>
      </w:r>
      <w:r>
        <w:t xml:space="preserve"> Canal de cribado del proyecto; ejecuciones documentadas de las búsquedas del 3 y el 4 de agosto de 2026, con la exportación de BVS incorporada al corpus el 10 de agosto.</w:t>
      </w:r>
    </w:p>
    <w:p>
      <w:r>
        <w:rPr>
          <w:b/>
        </w:rPr>
        <w:t>Figura 2. Composición del cuerpo de evidencia recuperable (n = 65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65 estudios con publicación recuperable.</w:t>
      </w:r>
    </w:p>
    <w:p>
      <w:pPr>
        <w:pStyle w:val="Heading1"/>
      </w:pPr>
      <w:r>
        <w:t>Material suplementario</w:t>
      </w:r>
    </w:p>
    <w:p>
      <w:pPr>
        <w:pStyle w:val="ListBullet"/>
      </w:pPr>
      <w:r>
        <w:rPr>
          <w:b/>
        </w:rPr>
        <w:t>S0.</w:t>
      </w:r>
      <w:r>
        <w:t xml:space="preserve"> Evaluación previa del manuscrito que redactó el modelo de lenguaje en el papel de un editor de revista; no es una evaluación editorial externa.</w:t>
      </w:r>
    </w:p>
    <w:p>
      <w:pPr>
        <w:pStyle w:val="ListBullet"/>
      </w:pPr>
      <w:r>
        <w:rPr>
          <w:b/>
        </w:rPr>
        <w:t>S1.</w:t>
      </w:r>
      <w:r>
        <w:t xml:space="preserve"> Lista de comprobación PRISMA 2020.</w:t>
      </w:r>
    </w:p>
    <w:p>
      <w:pPr>
        <w:pStyle w:val="ListBullet"/>
      </w:pPr>
      <w:r>
        <w:rPr>
          <w:b/>
        </w:rPr>
        <w:t>S2.</w:t>
      </w:r>
      <w:r>
        <w:t xml:space="preserve"> Ecuaciones de búsqueda literales por fuente, con su número de resultados.</w:t>
      </w:r>
    </w:p>
    <w:p>
      <w:pPr>
        <w:pStyle w:val="ListBullet"/>
      </w:pPr>
      <w:r>
        <w:rPr>
          <w:b/>
        </w:rPr>
        <w:t>S3.</w:t>
      </w:r>
      <w:r>
        <w:t xml:space="preserve"> Las decisiones del cribado vigente, en dos ficheros: etapa 2 (título) y etapa 3 (resumen), cada una con su motivo, quién la emitió y su marca de tiempo. La primera pasada del 4 de agosto de 2026 sobre el brazo A de PubMed, que el cribado del pozo sustituyó, consta en el repositorio y no en S3.</w:t>
      </w:r>
    </w:p>
    <w:p>
      <w:pPr>
        <w:pStyle w:val="ListBullet"/>
      </w:pPr>
      <w:r>
        <w:rPr>
          <w:b/>
        </w:rPr>
        <w:t>S4.</w:t>
      </w:r>
      <w:r>
        <w:t xml:space="preserve"> Pre-extracción desde el resumen de los 65 estudios con publicación recuperable, emitida por el modelo de lenguaje y marcada como parcial en cada registro.</w:t>
      </w:r>
    </w:p>
    <w:p>
      <w:pPr>
        <w:pStyle w:val="ListBullet"/>
      </w:pPr>
      <w:r>
        <w:rPr>
          <w:b/>
        </w:rPr>
        <w:t>S5.</w:t>
      </w:r>
      <w:r>
        <w:t xml:space="preserve"> Listado de los 65 estudios del corpus, con su situación y sus informes agrupados. Los 118 excluidos después del cribado están en S16.</w:t>
      </w:r>
    </w:p>
    <w:p>
      <w:pPr>
        <w:pStyle w:val="ListBullet"/>
      </w:pPr>
      <w:r>
        <w:rPr>
          <w:b/>
        </w:rPr>
        <w:t>S6.</w:t>
      </w:r>
      <w:r>
        <w:t xml:space="preserve"> Auditoría del cribado contra los 42 controles positivos fijados antes de empezarlo, 40 de ellos comprobables por PMID.</w:t>
      </w:r>
    </w:p>
    <w:p>
      <w:pPr>
        <w:pStyle w:val="ListBullet"/>
      </w:pPr>
      <w:r>
        <w:rPr>
          <w:b/>
        </w:rPr>
        <w:t>S7.</w:t>
      </w:r>
      <w:r>
        <w:t xml:space="preserve"> Declaraciones ICMJE.</w:t>
      </w:r>
    </w:p>
    <w:p>
      <w:pPr>
        <w:pStyle w:val="ListBullet"/>
      </w:pPr>
      <w:r>
        <w:rPr>
          <w:b/>
        </w:rPr>
        <w:t>S8.</w:t>
      </w:r>
      <w:r>
        <w:t xml:space="preserve"> Vía de recuperación resuelta en agosto de 2026 para cada informe que pasó a texto completo sin DOI editorial, PMID ni NCT: el identificador del registro o el código de protocolo, el DOI localizado, el ensayo ya identificado del que es informe o la cita por la que buscarlo. No registra los intentos de descarga ni su resultado; los estudios que se quedaron sin el artículo completo están en S16 (NOPDF).</w:t>
      </w:r>
    </w:p>
    <w:p>
      <w:pPr>
        <w:pStyle w:val="ListBullet"/>
      </w:pPr>
      <w:r>
        <w:rPr>
          <w:b/>
        </w:rPr>
        <w:t>S9.</w:t>
      </w:r>
      <w:r>
        <w:t xml:space="preserve"> Idioma por informe, con la clase de evidencia que aportaba.</w:t>
      </w:r>
    </w:p>
    <w:p>
      <w:pPr>
        <w:pStyle w:val="ListBullet"/>
      </w:pPr>
      <w:r>
        <w:rPr>
          <w:b/>
        </w:rPr>
        <w:t>S10.</w:t>
      </w:r>
      <w:r>
        <w:t xml:space="preserve"> Idioma del cuerpo del PDF de cada uno de los 65 estudios del corpus: una detección mecánica sobre el texto de todo el PDF, no sobre los metadatos ni solo sobre el resumen, que hace un guion del canal escrito por el modelo de lenguaje, introducida el 6 de octubre de 2026 y rehecha en cada pasada. Da 65 en inglés; la columna mirar_a_mano marca 1 PDF para revisarlo página a página por su fracción de caracteres cirílicos o CJK.</w:t>
      </w:r>
    </w:p>
    <w:p>
      <w:pPr>
        <w:pStyle w:val="ListBullet"/>
      </w:pPr>
      <w:r>
        <w:rPr>
          <w:b/>
        </w:rPr>
        <w:t>S11.</w:t>
      </w:r>
      <w:r>
        <w:t xml:space="preserve"> Concordancia entre las dos extracciones, antes de resolver los desacuerdos; su independencia no está acreditada.</w:t>
      </w:r>
    </w:p>
    <w:p>
      <w:pPr>
        <w:pStyle w:val="ListBullet"/>
      </w:pPr>
      <w:r>
        <w:rPr>
          <w:b/>
        </w:rPr>
        <w:t>S12.</w:t>
      </w:r>
      <w:r>
        <w:t xml:space="preserve"> Cómo se cerraron los 541 desacuerdos de extracción y quién los adjudicó según el registro: los dos revisores en 14 y uno solo en 525; 2 se cerraron por una regla mecánica, sin firma conjunta.</w:t>
      </w:r>
    </w:p>
    <w:p>
      <w:pPr>
        <w:pStyle w:val="ListBullet"/>
      </w:pPr>
      <w:r>
        <w:rPr>
          <w:b/>
        </w:rPr>
        <w:t>S13.</w:t>
      </w:r>
      <w:r>
        <w:t xml:space="preserve"> Reglas de extracción de desenlaces, con su corrección documentada. Las redactó el modelo de lenguaje; según declara D.V., las decidieron los dos autores, y el registro del 12 de agosto de 2026 las dejó como propuesta sin ratificar.</w:t>
      </w:r>
    </w:p>
    <w:p>
      <w:pPr>
        <w:pStyle w:val="ListBullet"/>
      </w:pPr>
      <w:r>
        <w:rPr>
          <w:b/>
        </w:rPr>
        <w:t>S14.</w:t>
      </w:r>
      <w:r>
        <w:t xml:space="preserve"> Extracción adjudicada: un valor por casilla, brazo a brazo, tras la adjudicación de los desacuerdos. Sostiene la sección 3.5 y las tablas 5 y 6.</w:t>
      </w:r>
    </w:p>
    <w:p>
      <w:pPr>
        <w:pStyle w:val="ListBullet"/>
      </w:pPr>
      <w:r>
        <w:rPr>
          <w:b/>
        </w:rPr>
        <w:t>S15.</w:t>
      </w:r>
      <w:r>
        <w:t xml:space="preserve"> Procedencia de cada casilla de S14: acuerdo, adjudicada por los dos, adjudicada por uno, corregida contra el texto, una sola lectura o abierta.</w:t>
      </w:r>
    </w:p>
    <w:p>
      <w:pPr>
        <w:pStyle w:val="ListBullet"/>
      </w:pPr>
      <w:r>
        <w:rPr>
          <w:b/>
        </w:rPr>
        <w:t>S16.</w:t>
      </w:r>
      <w:r>
        <w:t xml:space="preserve"> Los 118 estudios que el cribado admitió y que salieron después, con su código de motivo y quién firmó la exclusión. 47 llevan la cita en que se apoya; los 63 sin el artículo completo (NOPDF) y los 4 sin texto que se pudiera leer (NOREC) no tienen nada que citar, y 4 más van sin cita. De las que llevan cita, 17 citan la ficha del registro y 1, la indexación de SciELO.</w:t>
      </w:r>
    </w:p>
    <w:p>
      <w:pPr>
        <w:pStyle w:val="ListBullet"/>
      </w:pPr>
      <w:r>
        <w:rPr>
          <w:b/>
        </w:rPr>
        <w:t>S17.</w:t>
      </w:r>
      <w:r>
        <w:t xml:space="preserve"> La Tabla 6 desglosada: los siete requisitos, brazo a brazo sobre los 73 brazos, con el primero que falla y por qué.</w:t>
      </w:r>
    </w:p>
    <w:p>
      <w:pPr>
        <w:pStyle w:val="ListBullet"/>
      </w:pPr>
      <w:r>
        <w:rPr>
          <w:b/>
        </w:rPr>
        <w:t>S18.</w:t>
      </w:r>
      <w:r>
        <w:t xml:space="preserve"> Los 68 juicios de riesgo de sesgo, uno por fila, con lo que sostiene cada uno en el cuaderno firmado: una cita literal en 24, una nota sin cita en 36 y nada en 8, marcados como dato faltante.</w:t>
      </w:r>
    </w:p>
    <w:p>
      <w:pPr>
        <w:pStyle w:val="ListBullet"/>
      </w:pPr>
      <w:r>
        <w:rPr>
          <w:b/>
        </w:rPr>
        <w:t>S18b.</w:t>
      </w:r>
      <w:r>
        <w:t xml:space="preserve"> Las frases de cada artículo que el modelo de lenguaje localizó de forma automática para cada dominio de riesgo de sesgo y puso como comentario en los formularios; acompañan a lo que sostiene cada juicio en S18, no lo sustituyen.</w:t>
      </w:r>
    </w:p>
    <w:p>
      <w:pPr>
        <w:pStyle w:val="ListBullet"/>
      </w:pPr>
      <w:r>
        <w:rPr>
          <w:b/>
        </w:rPr>
        <w:t>S19.</w:t>
      </w:r>
      <w:r>
        <w:t xml:space="preserve"> Qué modelo emitió las decisiones de cribado, cuándo, sobre qué ficheros, qué examinó D.V., según su declaración, y qué no quedó registrado, marcado como dato faltante.</w:t>
      </w:r>
    </w:p>
    <w:p>
      <w:pPr>
        <w:pStyle w:val="ListBullet"/>
      </w:pPr>
      <w:r>
        <w:rPr>
          <w:b/>
        </w:rPr>
        <w:t>S20.</w:t>
      </w:r>
      <w:r>
        <w:t xml:space="preserve"> De qué informe salió cada uno de los 73 brazos, y con qué prueba se estableció el vínculo.</w:t>
      </w:r>
    </w:p>
    <w:p>
      <w:pPr>
        <w:pStyle w:val="ListBullet"/>
      </w:pPr>
      <w:r>
        <w:rPr>
          <w:b/>
        </w:rPr>
        <w:t>S21.</w:t>
      </w:r>
      <w:r>
        <w:t xml:space="preserve"> Los 30 pares de estudios que podían describir a los mismos pacientes, con la señal que los marcó, el veredicto tras leer los dos artículos, los pacientes compartidos y la frase firmada en que se apoya.</w:t>
      </w:r>
    </w:p>
    <w:p>
      <w:pPr>
        <w:pStyle w:val="ListBullet"/>
      </w:pPr>
      <w:r>
        <w:rPr>
          <w:b/>
        </w:rPr>
        <w:t>S22.</w:t>
      </w:r>
      <w:r>
        <w:t xml:space="preserve"> Para cada variable de estratificación, cuántos estudios la declaran en el texto completo, cuántos la mencionan sin poder clasificarla, cuántos callan y de cuántos no hay texto.</w:t>
      </w:r>
    </w:p>
    <w:p>
      <w:pPr>
        <w:pStyle w:val="ListBullet"/>
      </w:pPr>
      <w:r>
        <w:rPr>
          <w:b/>
        </w:rPr>
        <w:t>S23.</w:t>
      </w:r>
      <w:r>
        <w:t xml:space="preserve"> La clase de resistencia de los 70 estudios que tenían texto completo, comprobada contra el antibiograma del artículo: la conclusión firmada, la frase o la tabla en que se apoya, cómo se codificó y qué cambió en la extracción.</w:t>
      </w:r>
    </w:p>
    <w:p>
      <w:pPr>
        <w:pStyle w:val="ListBullet"/>
      </w:pPr>
      <w:r>
        <w:rPr>
          <w:b/>
        </w:rPr>
        <w:t>S24.</w:t>
      </w:r>
      <w:r>
        <w:t xml:space="preserve"> Los 14 estudios con diseño comparativo, reextraídos: comparador, asignación, tiempo cero, tiempo de evaluación, cointervenciones, pérdidas, estimando y si hay un contraste para </w:t>
      </w:r>
      <w:r>
        <w:rPr>
          <w:i/>
        </w:rPr>
        <w:t>P. aeruginosa</w:t>
      </w:r>
      <w:r>
        <w:t>.</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