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9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55 se excluyeron: 28 por el artículo, 17 por la ficha del registro y 10 sin poder leer ninguno. Quedan 128 estudios, 86 con publicación recuperable y 65 con texto obtenido (75,6 %). De esos 86, el 46,5 % son reportes de caso único y el 8,1 % tiene diseño comparativo; la categoría de resistencia no puede asignarse desde el resumen en el 73,3 %. En 64 de 94 brazos extraídos (68,1 %)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259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Risk of bias was assessed by consensus, by domain, in the 9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55 were excluded: 28 on the article, 17 on the registry record and 10 without reading either. 128 studies remain, 86 with a retrievable publication and 65 with the text obtained (75.6 %). Of those 86, 46.5 % are single case reports and 8.1 % have a comparative design; resistance category cannot be assigned from the abstract in 73.3 %. In 64 of the 94 extracted arms (68.1 %) no operational definition of clinical success is on record. No arm meets all seven requirements of a pooled proportion; of the 19 meeting the other six, 14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248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El riesgo de sesgo se evaluó por consenso, por dominios, en los 9 comparativos con texto completo (RoB 2, ROBINS-I); no se aplicó GRADE. De 23 057 registros quedaron 17 129 informes únicos; 233 informes formaron 183 estudios evaluados para elegibilidad, de los que 55 se excluyeron: 28 por el artículo, 17 por la ficha del registro y 10 sin poder leer ninguno. Quedan 128 estudios, 86 con publicación recuperable y 65 con texto obtenido (75,6 %). De esos 86, el 46,5 % son reportes de caso único y el 8,1 % tiene diseño comparativo; la categoría de resistencia no puede asignarse desde el resumen en el 73,3 %. En 64 de 94 brazos extraídos (68,1 %)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Risk of bias was assessed by consensus, by domain, in the 9 comparative studies with full text (RoB 2, ROBINS-I); GRADE was not applied. From 23 057 records, 17 129 unique reports remained; 233 reports formed 183 studies assessed for eligibility, of which 55 were excluded: 28 on the article, 17 on the registry record and 10 without reading either. 128 studies remain, 86 with a retrievable publication and 65 with the text obtained (75.6 %). Of those 86, 46.5 % are single case reports and 8.1 % have a comparative design; resistance category cannot be assigned from the abstract in 73.3 %. In 64 of the 94 extracted arms (68.1 %) no operational definition of clinical success is on record. No arm meets all seven requirements of a pooled proportion; of the 19 meeting the other six, 14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