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8 920.</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55 salieron del corpus</w:t>
      </w:r>
      <w:r>
        <w:t xml:space="preserve"> —protocolos, modelos preclínicos, y artículos donde </w:t>
      </w:r>
      <w:r>
        <w:rPr>
          <w:i/>
        </w:rPr>
        <w:t>P. aeruginosa</w:t>
      </w:r>
      <w:r>
        <w:t xml:space="preserve"> solo figura en el espectro del producto—: quedan </w:t>
      </w:r>
      <w:r>
        <w:rPr>
          <w:b/>
        </w:rPr>
        <w:t>128</w:t>
      </w:r>
      <w:r>
        <w:t xml:space="preserve">, 86 con publicación recuperable. Casos únicos, 46,5 %; comparativos, 8,1 %; sin clase de resistencia asignable, 73,3 %. Se obtuvo el texto completo de 65 (75,6 %), y lo que falta concentra el 71,4 % de los comparativos; el criterio de idioma eliminó 35 estudios más. En 64 de los 94 brazos (68,1 %)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32 estudios que declaran procedencia, 11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—86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86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9 de los 12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duplicado independiente y se resuelven por consenso.</w:t>
      </w:r>
      <w: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r>
        <w:rPr>
          <w:b/>
        </w:rPr>
        <w:t>GRADE no se aplica</w:t>
      </w:r>
      <w:r>
        <w:t>, y el motivo no depende de lo anterior: califica la certeza de una estimación agrupada y esta revisión no presenta ninguna. La sección 3.5 muestra que solo 2 de los 94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4 estudios</w:t>
      </w:r>
      <w:r>
        <w:t xml:space="preserve">. El primero, el 2 de septiembre, es un ensayo aleatorizado del que solo existe una copia en un repositorio institucional, en versión previa a revisión por pares y tras una barrera de acceso automatizado. Los otros 3 los excluyeron los dos autores el 6 de octubre de 2026 porque su idioma, que es criterio de la sección 2.2, solo pudo comprobarse sobre un resumen en inglés de revistas que no publican de forma nativa en inglés: EST-045 y EST-059, de una revista rusa, y EST-173, de una griega. Y su efecto potencial es mucho mayor, de modo que declararlo es obligatorio: </w:t>
      </w:r>
      <w:r>
        <w:rPr>
          <w:b/>
        </w:rPr>
        <w:t>aplicado a los 24 estudios que siguen sin texto completo, el corpus pasaría de 128 a 107 estudios, los comparativos de 7 a 2 y los ensayos aleatorizados de 6 a 2</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75,6 %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55 de ellos salieron del corpus</w:t>
      </w:r>
      <w:r>
        <w:t xml:space="preserve">, y se excluyeron; el apartado siguiente los detalla. El cuerpo de evidencia queda en </w:t>
      </w:r>
      <w:r>
        <w:rPr>
          <w:b/>
        </w:rPr>
        <w:t>128 estudios</w:t>
      </w:r>
      <w:r>
        <w:t>, que agrupan 161 informes: 107 con un solo informe y 21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55 estudios que el cribado admitió y que salieron después</w:t>
      </w:r>
    </w:p>
    <w:p>
      <w:r>
        <w:rPr>
          <w:b/>
        </w:rPr>
        <w:t>Treinta y ocho salieron al juzgarlos sobre su publicación.</w:t>
      </w:r>
      <w:r>
        <w:t xml:space="preserve"> Se excluyeron por ocho motivos, y ninguno es una discrepancia de criterio: son estudios que no cumplen lo que la sección 2.2 ya exigía. </w:t>
      </w:r>
      <w:r>
        <w:rPr>
          <w:b/>
        </w:rPr>
        <w:t>Treinta</w:t>
      </w:r>
      <w:r>
        <w:t xml:space="preserve"> salieron de leer su artículo.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rPr>
          <w:b/>
        </w:rPr>
        <w:t>Cuatro más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y son el </w:t>
      </w:r>
      <w:r>
        <w:rPr>
          <w:b/>
        </w:rPr>
        <w:t>30,1 %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38 anteriores se juzgaron sobre su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128 estudios, </w:t>
      </w:r>
      <w:r>
        <w:rPr>
          <w:b/>
        </w:rPr>
        <w:t>86 tienen publicación recuperable</w:t>
      </w:r>
      <w:r>
        <w:t xml:space="preserve">: 83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65 de los 86 estudios recuperables (75,6 %)</w:t>
      </w:r>
      <w:r>
        <w:t xml:space="preserve"> por vías de acceso abierto legítimas. Los 21 restantes siguen sin obtenerse. Su disponibilidad se recomprobó el 2 de septiembre de 2026 contra tres índices independientes —Europe PMC, OpenAlex y Semantic Scholar—, y </w:t>
      </w:r>
      <w:r>
        <w:rPr>
          <w:b/>
        </w:rPr>
        <w:t>ninguno de los 21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5 de los 7 estudios comparativos, el </w:t>
      </w:r>
      <w:r>
        <w:rPr>
          <w:b/>
        </w:rPr>
        <w:t>71,4 %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40 reportes de caso único (46,5 %)</w:t>
      </w:r>
      <w:r>
        <w:t xml:space="preserve">, 18 series de casos, 11 cohortes prospectivas, 6 ensayos aleatorizados, 1 ensayos no aleatorizados y 3 cohortes retrospectivas. Otros 7 no declaran su diseño de forma reconocible en el resumen. Los comparativos suman </w:t>
      </w:r>
      <w:r>
        <w:rPr>
          <w:b/>
        </w:rPr>
        <w:t>7 estudios, el 8,1 %</w:t>
      </w:r>
      <w:r>
        <w:t xml:space="preserve"> del total, y son los únicos capaces de sostener una afirmación de eficacia relativa.</w:t>
      </w:r>
    </w:p>
    <w:p>
      <w:r>
        <w:t>La procedencia geográfica, cuando consta, se reparte entre Georgia y Polonia (5 estudios cada una), Estados Unidos y Francia (3 cada una), Alemania, Bélgica, España y Israel (2 cada una), y otros 8 orígenes con un estudio cada uno. No consta en 54 de los 86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73,3 %</w:t>
      </w:r>
      <w:r>
        <w:t xml:space="preserve"> de los estudios: el 58,1 % no la menciona en absoluto y un 15,1 %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51,2 %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33,7 %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97,7 %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94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y EST-096, que también se mantienen.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94 brazos del corpus vigente.</w:t>
      </w:r>
    </w:p>
    <w:p>
      <w:r>
        <w:t xml:space="preserve">La completitud es desigual y, en el mejor de los casos, parcial. Los eventos adversos son lo que más se reporta con denominador (79,8 % de los brazos) y la emergencia de resistencia al fago lo que menos (27,7 %), pese a ser el desenlace que decide si la intervención conserva su utilidad. Esos porcentajes se calculan sobre los 94 brazos, e incluyen por tanto 21 de estudios cuyo texto completo no se ha recuperado: de un artículo que no se ha podido leer no cabe afirmar que calle. Sobre los 73 brazos legibles las cifras suben —del 79,8 % al 89,0 % en eventos adversos, del 27,7 % al 35,6 % en resistencia—, y la tabla 5 da las dos columnas para que el lector distinga el silencio de la literatura del hueco documental de esta revisión. El éxito clínico, que es el que las síntesis publicadas agregan, consta con numerador y denominador en el 70,2 %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70,2 % es, sin embargo, engañoso si se lee como disponibilidad para agregar. </w:t>
      </w:r>
      <w:r>
        <w:rPr>
          <w:b/>
        </w:rPr>
        <w:t>En 64 de los 94 brazos (68,1 %) no consta una definición operativa de éxito clínico</w:t>
      </w:r>
      <w:r>
        <w:t>; sobre los 73 brazos legibles, en 43 (58,9 %). En 46 de ellos los revisores lo establecieron leyendo el artículo: 45 declaran un número de pacientes con «buen resultado» sin decir qué había que observar para contarlo, y 1 dejó el campo sin dato. En los 18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10 de los 94 brazos no puede clasificarse —los dos revisores acordaron «NA» en los 10—, de modo que los recuentos por diseño son suelos sobre los 84 restantes. De esos 84, </w:t>
      </w:r>
      <w:r>
        <w:rPr>
          <w:b/>
        </w:rPr>
        <w:t>6 brazos son ensayos</w:t>
      </w:r>
      <w:r>
        <w:t xml:space="preserve"> (aleatorizados o no) y </w:t>
      </w:r>
      <w:r>
        <w:rPr>
          <w:b/>
        </w:rPr>
        <w:t>9 son cohortes</w:t>
      </w:r>
      <w:r>
        <w:t>. La sección 3.3 y la tabla 1 llaman «comparativos» solo a los ensayos, y por eso allí la cifra es 11 estudios: cuando en esta sección se dice «comparativo» se incluyen también las cohortes, y son 15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94</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94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dos revisores evaluaron por separado 8 de los 9 estudios evaluables y coincidieron en 49 de los 60 juicios comparables (81,7 %; kappa de Cohen 0,74). Los 11 restantes se discutieron uno a uno y se resolvieron por consenso, los 11 en la misma dirección.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128 estudios frente a las decenas que manejan las revisiones publicadas, y habrían sido 218 sin la restricción de idioma que se adoptó al final y sin los 55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128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siete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la concordancia previa al consenso fue del 81,7 % (49 de 60 juicios; kappa de Cohen 0,74), con 11 desacuerdos resueltos todos en la misma dirección. </w:t>
      </w:r>
      <w:r>
        <w:rPr>
          <w:b/>
        </w:rPr>
        <w:t>Quinta:</w:t>
      </w:r>
      <w:r>
        <w:t xml:space="preserve"> el texto completo se obtuvo para el 75,6 %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b/>
        </w:rPr>
        <w:t>Séptima:</w:t>
      </w:r>
      <w:r>
        <w:t xml:space="preserve"> el corpus cuenta informes y estudios, no pacientes distintos, y contiene </w:t>
      </w:r>
      <w:r>
        <w:rPr>
          <w:b/>
        </w:rPr>
        <w:t>20 pacientes descritos en más de un estudio</w:t>
      </w:r>
      <w:r>
        <w:t xml:space="preserve">, repartidos entre 18 de los 128.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31 pares: 16 los marcó un detector por producto, país y cita, y 15 los encontró la lectura. 19 se confirmaron, 12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128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86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94 brazos).</w:t>
      </w:r>
    </w:p>
    <w:p>
      <w:r>
        <w:rPr>
          <w:b/>
        </w:rPr>
        <w:t>Tabla 6.</w:t>
      </w:r>
      <w:r>
        <w:t xml:space="preserve"> Brazos que sobreviven a cada requisito de una proporción agrupada de éxito clínico (n = 94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86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86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cuándo.</w:t>
      </w:r>
    </w:p>
    <w:p>
      <w:pPr>
        <w:pStyle w:val="ListBullet"/>
      </w:pPr>
      <w:r>
        <w:rPr>
          <w:b/>
        </w:rPr>
        <w:t>S4.</w:t>
      </w:r>
      <w:r>
        <w:t xml:space="preserve"> Pre-extracción desde el resumen de los 86 estudios con publicación recuperable, marcada como parcial en cada registro.</w:t>
      </w:r>
    </w:p>
    <w:p>
      <w:pPr>
        <w:pStyle w:val="ListBullet"/>
      </w:pPr>
      <w:r>
        <w:rPr>
          <w:b/>
        </w:rPr>
        <w:t>S5.</w:t>
      </w:r>
      <w:r>
        <w:t xml:space="preserve"> Listado de los 128 estudios con su situación y sus informes agrupados, y de los 55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S16.</w:t>
      </w:r>
      <w:r>
        <w:t xml:space="preserve"> Los 55 estudios que el cribado admitió y el texto completo desmintió, con su código de motivo y la frase del artículo que lo sostiene.</w:t>
      </w:r>
    </w:p>
    <w:p>
      <w:pPr>
        <w:pStyle w:val="ListBullet"/>
      </w:pPr>
      <w:r>
        <w:rPr>
          <w:b/>
        </w:rPr>
        <w:t>S17.</w:t>
      </w:r>
      <w:r>
        <w:t xml:space="preserve"> La Tabla 6 desglosada: los siete requisitos, brazo a brazo sobre los 94 brazos, con el primero que falla y por qué.</w:t>
      </w:r>
    </w:p>
    <w:p>
      <w:pPr>
        <w:pStyle w:val="ListBullet"/>
      </w:pPr>
      <w:r>
        <w:rPr>
          <w:b/>
        </w:rPr>
        <w:t>S18.</w:t>
      </w:r>
      <w:r>
        <w:t xml:space="preserve"> Los 68 juicios de riesgo de sesgo, uno por fila, con la frase firmada en que se apoya cada uno.</w:t>
      </w:r>
    </w:p>
    <w:p>
      <w:pPr>
        <w:pStyle w:val="ListBullet"/>
      </w:pPr>
      <w:r>
        <w:rPr>
          <w:b/>
        </w:rPr>
        <w:t>S18b.</w:t>
      </w:r>
      <w:r>
        <w:t xml:space="preserve"> Las frases del artículo cosechadas por tema, que acompañan pero no sustituyen a la firmada.</w:t>
      </w:r>
    </w:p>
    <w:p>
      <w:pPr>
        <w:pStyle w:val="ListBullet"/>
      </w:pPr>
      <w:r>
        <w:rPr>
          <w:b/>
        </w:rPr>
        <w:t>S19.</w:t>
      </w:r>
      <w:r>
        <w:t xml:space="preserve"> Qué modelo emitió las decisiones de cribado, cuándo, sobre qué ficheros, qué verificaron los autores y qué NO quedó registrado, marcado como dato faltante.</w:t>
      </w:r>
    </w:p>
    <w:p>
      <w:pPr>
        <w:pStyle w:val="ListBullet"/>
      </w:pPr>
      <w:r>
        <w:rPr>
          <w:b/>
        </w:rPr>
        <w:t>S20.</w:t>
      </w:r>
      <w:r>
        <w:t xml:space="preserve"> De qué informe salió cada uno de los 94 brazos, y con qué prueba se estableció el vínculo.</w:t>
      </w:r>
    </w:p>
    <w:p>
      <w:pPr>
        <w:pStyle w:val="ListBullet"/>
      </w:pPr>
      <w:r>
        <w:rPr>
          <w:b/>
        </w:rPr>
        <w:t>S21.</w:t>
      </w:r>
      <w:r>
        <w:t xml:space="preserve"> Los 31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