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la extracción de datos no haya concluido.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cumple las recomendaciones del ICMJE.</w:t>
      </w:r>
    </w:p>
    <w:p>
      <w:pPr>
        <w:pStyle w:val="ListBullet"/>
      </w:pPr>
      <w:r>
        <w:t>El criterio de idioma no se da por supuesto en ningún informe. Se verificó contra el campo de idioma de la fuente y, en los 62 estudios con PDF, contra el texto completo. Esa comprobación detectó dos estudios cuyos metadatos declaraban inglés y cuyo artículo está en ruso, que se excluyeron: sin abrir el PDF se habrían quedado dentro. Los 234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185</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125</w:t>
            </w:r>
          </w:p>
        </w:tc>
      </w:tr>
      <w:tr>
        <w:tc>
          <w:tcPr>
            <w:tcW w:type="dxa" w:w="3969"/>
          </w:tcPr>
          <w:p>
            <w:r/>
            <w:r>
              <w:rPr>
                <w:sz w:val="18"/>
              </w:rPr>
              <w:t>Diseños comparativos</w:t>
            </w:r>
          </w:p>
        </w:tc>
        <w:tc>
          <w:tcPr>
            <w:tcW w:type="dxa" w:w="2494"/>
          </w:tcPr>
          <w:p>
            <w:r/>
            <w:r>
              <w:rPr>
                <w:sz w:val="18"/>
              </w:rPr>
              <w:t>41</w:t>
            </w:r>
          </w:p>
        </w:tc>
        <w:tc>
          <w:tcPr>
            <w:tcW w:type="dxa" w:w="2494"/>
          </w:tcPr>
          <w:p>
            <w:r/>
            <w:r>
              <w:rPr>
                <w:sz w:val="18"/>
              </w:rPr>
              <w:t>24</w:t>
            </w:r>
          </w:p>
        </w:tc>
      </w:tr>
      <w:tr>
        <w:tc>
          <w:tcPr>
            <w:tcW w:type="dxa" w:w="3969"/>
          </w:tcPr>
          <w:p>
            <w:r/>
            <w:r>
              <w:rPr>
                <w:sz w:val="18"/>
              </w:rPr>
              <w:t>Ensayos aleatorizados</w:t>
            </w:r>
          </w:p>
        </w:tc>
        <w:tc>
          <w:tcPr>
            <w:tcW w:type="dxa" w:w="2494"/>
          </w:tcPr>
          <w:p>
            <w:r/>
            <w:r>
              <w:rPr>
                <w:sz w:val="18"/>
              </w:rPr>
              <w:t>21</w:t>
            </w:r>
          </w:p>
        </w:tc>
        <w:tc>
          <w:tcPr>
            <w:tcW w:type="dxa" w:w="2494"/>
          </w:tcPr>
          <w:p>
            <w:r/>
            <w:r>
              <w:rPr>
                <w:sz w:val="18"/>
              </w:rPr>
              <w:t>16</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8</w:t>
            </w:r>
          </w:p>
        </w:tc>
      </w:tr>
    </w:tbl>
    <w:p/>
    <w:p>
      <w:r>
        <w:rPr>
          <w:i/>
          <w:color w:val="444444"/>
          <w:sz w:val="17"/>
        </w:rPr>
        <w:t>De los 34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Extracción de datos por duplicado e independiente</w:t>
            </w:r>
          </w:p>
        </w:tc>
        <w:tc>
          <w:tcPr>
            <w:tcW w:type="dxa" w:w="3628"/>
          </w:tcPr>
          <w:p>
            <w:r/>
            <w:r>
              <w:rPr>
                <w:sz w:val="18"/>
              </w:rPr>
              <w:t>Sin ella no hay desenlaces, ni riesgo de sesgo, ni GRADE. Una revisión sistemática sin extracción es un protocolo con resultados de cribado.</w:t>
            </w:r>
          </w:p>
        </w:tc>
        <w:tc>
          <w:tcPr>
            <w:tcW w:type="dxa" w:w="2494"/>
          </w:tcPr>
          <w:p>
            <w:r/>
            <w:r>
              <w:rPr>
                <w:sz w:val="18"/>
              </w:rPr>
              <w:t>Los dos revisores; el formulario y el libro de códigos ya existen</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46,5 % obtenido es insuficiente y, sobre todo, sesgado: la fracción faltante concentra el 63,4 %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85 textos completos para que el manuscrito resista la revisión. Los 26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159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