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246; main text 3 610.</w:t>
      </w:r>
    </w:p>
    <w:p>
      <w:r>
        <w:rPr>
          <w:b/>
        </w:rPr>
        <w:t>Tables:</w:t>
      </w:r>
      <w:r>
        <w:t xml:space="preserve"> 4. </w:t>
      </w:r>
      <w:r>
        <w:rPr>
          <w:b/>
        </w:rPr>
        <w:t>Figures:</w:t>
      </w:r>
      <w:r>
        <w:t xml:space="preserve"> 2. </w:t>
      </w:r>
      <w:r>
        <w:rPr>
          <w:b/>
        </w:rPr>
        <w:t>Supplementary files:</w:t>
      </w:r>
      <w:r>
        <w:t xml:space="preserve"> 6.</w:t>
      </w:r>
    </w:p>
    <w:p>
      <w:pPr>
        <w:pStyle w:val="Heading1"/>
      </w:pPr>
      <w:r>
        <w:t>Abstract</w:t>
      </w:r>
    </w:p>
    <w:p>
      <w:r>
        <w:rPr>
          <w:b/>
        </w:rPr>
        <w:t>Background.</w:t>
      </w:r>
      <w:r>
        <w:t xml:space="preserve"> Multidrug-resistant </w:t>
      </w:r>
      <w:r>
        <w:rPr>
          <w:i/>
        </w:rPr>
        <w:t>Pseudomonas aeruginosa</w:t>
      </w:r>
      <w:r>
        <w:t xml:space="preserve"> is a WHO critical-priority pathogen.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Nine sources were searched without date restriction, including the regional databases BVS and SciELO. Only reports in English or Spanish were eligible, a criterion adopted after screening closed and verified report by report, including against the full text of every retrieved PDF. The unit of inclusion was the study, not the report.</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is not stated in 70.2 %. Full text was obtained for 65 studies (52.4 %); the remaining fraction concentrates 56.5 % of the comparative designs. The language criterion removed 35 studies, 18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[@Tacconelli2018_who; @WHO2024_bppl].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@Krakhotkin2025_currurol].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t>Full search strings are supplied as supplementary material, with the literal syntax of each interface, the number of hits and the date each was run.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for a human to read.</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159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65 of the 124 retrievable studies (52.4 %)</w:t>
      </w:r>
      <w:r>
        <w:t xml:space="preserve"> through legitimate open-access routes. The remaining 59 require interlibrary loan, institutional access or a request to the authors.</w:t>
      </w:r>
    </w:p>
    <w:p>
      <w:r>
        <w:t xml:space="preserve">The unretrieved fraction </w:t>
      </w:r>
      <w:r>
        <w:rPr>
          <w:b/>
        </w:rPr>
        <w:t>is not a random sample of the whole</w:t>
      </w:r>
      <w:r>
        <w:t xml:space="preserve"> (Table 3). It contains 13 of the 23 comparative studies, </w:t>
      </w:r>
      <w:r>
        <w:rPr>
          <w:b/>
        </w:rPr>
        <w:t>56.5 %</w:t>
      </w:r>
      <w:r>
        <w:t>, and reports more patients than the retrieved fraction. Among those unread comparative studies are the field's four landmark randomised trials [@Jault2019_phagoburn; @Leitner2021_lancetid_pyophage; @NirPaz2025_med_tp102; @Chan2023_jcf_cyphy]; one of them, the Yale trial, has no full journal article, only a conference abstract and results deposited in the register.</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is not stated in </w:t>
      </w:r>
      <w:r>
        <w:rPr>
          <w:b/>
        </w:rPr>
        <w:t>70.2 %</w:t>
      </w:r>
      <w:r>
        <w:t xml:space="preserve"> of studies.</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In this literature "clinical success" ranges from resolution of a fistula at two years to absence of fever at three days. Without a shared definition, the pooled proportion adds numerators that do not count the same events.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Seven in ten do not state the resistance category by which stratification is attempted.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@Krakhotkin2025_currurol].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52.4 % of the retrievable studies, and the missing fraction is enriched in comparative designs, so what is described here under-represents the comparative part of the field. </w:t>
      </w:r>
      <w:r>
        <w:rPr>
          <w:b/>
        </w:rPr>
        <w:t>Fourth</w:t>
      </w:r>
      <w:r>
        <w:t xml:space="preserve">, screening was performed by a single reviewer supported by explicit rules, with a positive-control audit but without independent duplication. Duplication is planned for the extraction stage. </w:t>
      </w:r>
      <w:r>
        <w:rPr>
          <w:b/>
        </w:rPr>
        <w:t>Fifth</w:t>
      </w:r>
      <w:r>
        <w:t>, the restriction to English and Spanish was adopted once screening had closed, and removed 35 studies, 18 of them comparative and one belonging to the positive-control set. It pushes the corpus in the same direction as the retrieval bias and narrows what this review can say about the literature of Eastern Europe, which is where comparative designs concentrate.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Competing interests.</w:t>
      </w:r>
      <w:r>
        <w:t xml:space="preserve"> The authors declare no competing interests.</w:t>
      </w:r>
    </w:p>
    <w:p>
      <w:r>
        <w:rPr>
          <w:b/>
        </w:rPr>
        <w:t>Author contributions.</w:t>
      </w:r>
      <w:r>
        <w:t xml:space="preserve"> [To be completed under CRediT before submission.]</w:t>
      </w:r>
    </w:p>
    <w:p>
      <w:r>
        <w:rPr>
          <w:b/>
        </w:rPr>
        <w:t>Data and code availability.</w:t>
      </w:r>
      <w:r>
        <w:t xml:space="preserve"> The screening corpus, the complete decision logs, the extraction form and all pipeline code are available in the project repository. Decision logs are append-only and retain every correction.</w:t>
      </w:r>
    </w:p>
    <w:p>
      <w:r>
        <w:rPr>
          <w:b/>
        </w:rPr>
        <w:t>Use of artificial intelligence.</w:t>
      </w:r>
      <w:r>
        <w:t xml:space="preserve"> Generative artificial intelligence tools (Claude, Anthropic) were used in preparing this work to assist with programming the screening pipeline, with pre-extraction from abstracts, and with drafting. The authors reviewed and verified all content and take full responsibility for its accuracy and integrity. No AI tool is listed as an author, in line with ICMJE recommendations.</w:t>
      </w:r>
    </w:p>
    <w:p>
      <w:r>
        <w:rPr>
          <w:b/>
        </w:rPr>
        <w:t>Acknowledgements.</w:t>
      </w:r>
      <w:r>
        <w:t xml:space="preserve"> [To be completed.]</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159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159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159 studies with a retrievable publication.</w:t>
      </w:r>
    </w:p>
    <w:p>
      <w:pPr>
        <w:pStyle w:val="Heading1"/>
      </w:pPr>
      <w:r>
        <w:t>Supplementary material</w:t>
      </w:r>
    </w:p>
    <w:p>
      <w:pPr>
        <w:pStyle w:val="ListBullet"/>
      </w:pPr>
      <w:r>
        <w:t>S1. Completed PRISMA 2020 checklist.</w:t>
      </w:r>
    </w:p>
    <w:p>
      <w:pPr>
        <w:pStyle w:val="ListBullet"/>
      </w:pPr>
      <w:r>
        <w:t>S2. Literal search strings by database, with date and number of hits.</w:t>
      </w:r>
    </w:p>
    <w:p>
      <w:pPr>
        <w:pStyle w:val="ListBullet"/>
      </w:pPr>
      <w:r>
        <w:t>S3. Complete screening decision log (stages 1 to 3).</w:t>
      </w:r>
    </w:p>
    <w:p>
      <w:pPr>
        <w:pStyle w:val="ListBullet"/>
      </w:pPr>
      <w:r>
        <w:t>S4. Extraction form and codebook.</w:t>
      </w:r>
    </w:p>
    <w:p>
      <w:pPr>
        <w:pStyle w:val="ListBullet"/>
      </w:pPr>
      <w:r>
        <w:t>S5. List of the 219 studies with their status and reports.</w:t>
      </w:r>
    </w:p>
    <w:p>
      <w:pPr>
        <w:pStyle w:val="ListBullet"/>
      </w:pPr>
      <w:r>
        <w:t>S6. Positive-control audit.</w:t>
      </w:r>
    </w:p>
    <w:p>
      <w:pPr>
        <w:pStyle w:val="ListBullet"/>
      </w:pPr>
      <w:r>
        <w:t>S9. Language assignment for every report, with evidence class and proof.</w:t>
      </w:r>
    </w:p>
    <w:p>
      <w:pPr>
        <w:pStyle w:val="ListBullet"/>
      </w:pPr>
      <w:r>
        <w:t>S10. Full-text language verification of every retrieved PDF.</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