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263; texto principal 6 413.</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26 no cumplían los criterios</w:t>
      </w:r>
      <w:r>
        <w:t xml:space="preserve"> —protocolos, modelos preclínicos, y artículos donde </w:t>
      </w:r>
      <w:r>
        <w:rPr>
          <w:i/>
        </w:rPr>
        <w:t>P. aeruginosa</w:t>
      </w:r>
      <w:r>
        <w:t xml:space="preserve"> solo figura en el espectro del producto—: quedan </w:t>
      </w:r>
      <w:r>
        <w:rPr>
          <w:b/>
        </w:rPr>
        <w:t>158</w:t>
      </w:r>
      <w:r>
        <w:t xml:space="preserve">, 98 con publicación recuperable. Casos únicos, 42,9 %; comparativos, 13,3 %; sin clase de resistencia asignable, 76,5 %. Se obtuvo el texto completo de 71 (72,4 %), y lo que falta concentra el 61,5 % de los comparativos; el criterio de idioma eliminó 35 estudios más. En 71 de los 106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39 estudios que declaran procedencia, 16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—98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98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27 de los 98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2 de los 106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26 de ellos no cumplían los criterios de la sección 2.2</w:t>
      </w:r>
      <w:r>
        <w:t xml:space="preserve">, y se excluyeron; el apartado siguiente los detalla. El cuerpo de evidencia queda en </w:t>
      </w:r>
      <w:r>
        <w:rPr>
          <w:b/>
        </w:rPr>
        <w:t>158 estudios</w:t>
      </w:r>
      <w:r>
        <w:t>, que agrupan 197 informes: 134 con un solo informe y 24 con varios, hasta un máximo de once informes de un mismo ensayo.</w:t>
      </w:r>
    </w:p>
    <w:p>
      <w:pPr>
        <w:pStyle w:val="Heading2"/>
      </w:pPr>
      <w:r>
        <w:t>3.1.1 Veintiséis estudios que el cribado admitió y la lectura desmintió</w:t>
      </w:r>
    </w:p>
    <w:p>
      <w:r>
        <w:t xml:space="preserve">Los 26 se excluyeron por siete motivos, y ninguno es una discrepancia de criterio: son estudios que no cumplen lo que la sección 2.2 ya exigía. </w:t>
      </w:r>
      <w:r>
        <w:rPr>
          <w:b/>
        </w:rPr>
        <w:t>Veintidós</w:t>
      </w:r>
      <w:r>
        <w:t xml:space="preserve"> salieron de leer su texto completo. </w:t>
      </w:r>
      <w:r>
        <w:rPr>
          <w:b/>
        </w:rPr>
        <w:t>Diez</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Uno</w:t>
      </w:r>
      <w:r>
        <w:t xml:space="preserve"> es una pieza de opinión con revisión narrativa.</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98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158 estudios, </w:t>
      </w:r>
      <w:r>
        <w:rPr>
          <w:b/>
        </w:rPr>
        <w:t>98 tienen publicación recuperable</w:t>
      </w:r>
      <w:r>
        <w:t xml:space="preserve">: 95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98 estudios recuperables (72,4 %)</w:t>
      </w:r>
      <w:r>
        <w:t xml:space="preserve"> por vías de acceso abierto legítimas. Los 27 restantes siguen sin obtenerse. Su disponibilidad se recomprobó el 2 de septiembre de 2026 contra tres índices independientes —Europe PMC, OpenAlex y Semantic Scholar—, y </w:t>
      </w:r>
      <w:r>
        <w:rPr>
          <w:b/>
        </w:rPr>
        <w:t>ninguno de los 27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8 de los 13 estudios comparativos, el </w:t>
      </w:r>
      <w:r>
        <w:rPr>
          <w:b/>
        </w:rPr>
        <w:t>61,5 %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98 estudios recuperables se publicaron entre </w:t>
      </w:r>
      <w:r>
        <w:rPr>
          <w:b/>
        </w:rPr>
        <w:t>2016 y 2026</w:t>
      </w:r>
      <w:r>
        <w:t xml:space="preserve">, y el </w:t>
      </w:r>
      <w:r>
        <w:rPr>
          <w:b/>
        </w:rPr>
        <w:t>79,6 %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(42,9 %)</w:t>
      </w:r>
      <w:r>
        <w:t xml:space="preserve">, 18 series de casos, 13 cohortes prospectivas, 9 ensayos aleatorizados, 4 ensayos no aleatorizados y 3 cohortes retrospectivas. Otros 9 no declaran su diseño de forma reconocible en el resumen. Los comparativos suman </w:t>
      </w:r>
      <w:r>
        <w:rPr>
          <w:b/>
        </w:rPr>
        <w:t>13 estudios, el 13,3 %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76,5 %</w:t>
      </w:r>
      <w:r>
        <w:t xml:space="preserve"> de los estudios: el 63,3 % no la menciona en absoluto y un 13,3 %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52,0 %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40,8 %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98,0 %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106 brazos del corpus vigente.</w:t>
      </w:r>
    </w:p>
    <w:p>
      <w:r>
        <w:t>La completitud es desigual y, en el mejor de los casos, parcial. Los eventos adversos son lo que más se reporta con denominador (76,4 % de los brazos) y la emergencia de resistencia al fago lo que menos (26,4 %), pese a ser el desenlace que decide si la intervención conserva su utilidad. Esos porcentajes se calculan sobre los 106 brazos, e incluyen por tanto 27 de estudios cuyo texto completo no se ha recuperado: de un artículo que no se ha podido leer no cabe afirmar que calle. Sobre los 79 brazos legibles las cifras suben —del 76,4 % al 88,6 % en eventos adversos, del 26,4 % al 35,4 % en resistencia—, y la tabla 5 da las dos columnas para que el lector distinga el silencio de la literatura del hueco documental de esta revisión. El éxito clínico, que es el que las síntesis publicadas agregan, consta con numerador y denominador en el 66,0 % de los brazos. Dos brazos reportan un numerador mayor que su denominador —trece éxitos clínicos sobre un paciente, y cinco eventos adversos sobre cuatro—; se señalan como error de reporte y no se leen como proporciones.</w:t>
      </w:r>
    </w:p>
    <w:p>
      <w:r>
        <w:t xml:space="preserve">Ese 66,0 % es, sin embargo, engañoso si se lee como disponibilidad para agregar. </w:t>
      </w:r>
      <w:r>
        <w:rPr>
          <w:b/>
        </w:rPr>
        <w:t>En 71 de los 106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23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23 de los 106 brazos no puede clasificarse —15 en que los dos revisores acordaron «NA» y 8 que siguen abiertos—, de modo que los recuentos por diseño son suelos sobre los 83 restantes. De esos 83, </w:t>
      </w:r>
      <w:r>
        <w:rPr>
          <w:b/>
        </w:rPr>
        <w:t>8 brazos son ensayos</w:t>
      </w:r>
      <w:r>
        <w:t xml:space="preserve"> (aleatorizados o no) y </w:t>
      </w:r>
      <w:r>
        <w:rPr>
          <w:b/>
        </w:rPr>
        <w:t>9 son cohortes</w:t>
      </w:r>
      <w:r>
        <w:t>. La sección 3.3 y la tabla 1 llaman «comparativos» solo a los ensayos, y por eso allí la cifra es 23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106</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106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158 estudios frente a las decenas que manejan las revisiones publicadas, y habrían sido 219 sin la restricción de idioma que se adoptó al final y sin los 26 que la lectura de los artículos desmintió.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158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72,4 %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98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106 brazos).</w:t>
      </w:r>
    </w:p>
    <w:p>
      <w:r>
        <w:rPr>
          <w:b/>
        </w:rPr>
        <w:t>Tabla 6.</w:t>
      </w:r>
      <w:r>
        <w:t xml:space="preserve"> Brazos que sobreviven a cada requisito de una proporción agrupada de éxito clínico (n = 106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98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98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158 estudios con su situación y sus informes agrupados, y de los 26 excluidos al leer los artículos,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