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292; texto principal 9 808.</w:t>
      </w:r>
    </w:p>
    <w:p>
      <w:pPr>
        <w:jc w:val="both"/>
      </w:pPr>
      <w:r>
        <w:rPr>
          <w:rFonts w:ascii="Times New Roman" w:hAnsi="Times New Roman"/>
          <w:b w:val="0"/>
          <w:i/>
          <w:sz w:val="22"/>
        </w:rPr>
        <w:t>Tablas:</w:t>
      </w:r>
      <w:r>
        <w:rPr>
          <w:rFonts w:ascii="Times New Roman" w:hAnsi="Times New Roman"/>
          <w:b w:val="0"/>
          <w:i w:val="0"/>
          <w:sz w:val="22"/>
        </w:rPr>
        <w:t xml:space="preserve"> 7.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anexos S0–S24 y S18b,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con su artículo completo: criterio añadido tras la extracción. Extracción manual por duplicado, sin independencia acreditada, y adjudicada: la estructura sale de una pre-extracción del modelo desde el resumen; los desenlaces, de la extracción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y </w:t>
      </w:r>
      <w:r>
        <w:rPr>
          <w:rFonts w:ascii="Times New Roman" w:hAnsi="Times New Roman"/>
          <w:b w:val="0"/>
          <w:i/>
          <w:sz w:val="22"/>
        </w:rPr>
        <w:t>118 salieron del corpus</w:t>
      </w:r>
      <w:r>
        <w:rPr>
          <w:rFonts w:ascii="Times New Roman" w:hAnsi="Times New Roman"/>
          <w:b w:val="0"/>
          <w:i w:val="0"/>
          <w:sz w:val="22"/>
        </w:rPr>
        <w:t xml:space="preserve">: 63 por no disponer del artículo completo —42 solo existían como ficha de registro— y 55 por no cumplir los criterios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65</w:t>
      </w:r>
      <w:r>
        <w:rPr>
          <w:rFonts w:ascii="Times New Roman" w:hAnsi="Times New Roman"/>
          <w:b w:val="0"/>
          <w:i w:val="0"/>
          <w:sz w:val="22"/>
        </w:rP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rFonts w:ascii="Times New Roman" w:hAnsi="Times New Roman"/>
          <w:b w:val="0"/>
          <w:i/>
          <w:sz w:val="22"/>
        </w:rPr>
        <w:t>P. aeruginosa</w:t>
      </w:r>
      <w:r>
        <w:rPr>
          <w:rFonts w:ascii="Times New Roman" w:hAnsi="Times New Roman"/>
          <w:b w:val="0"/>
          <w:i w:val="0"/>
          <w:sz w:val="22"/>
        </w:rPr>
        <w:t xml:space="preserve"> y el otro mide un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Las búsquedas se ejecutaron entre el 3 y el 10 de agosto de 2026; la ejecución de Scopus cuya exportación entró al corpus no tiene fecha registrada.</w:t>
      </w:r>
    </w:p>
    <w:p>
      <w:pPr>
        <w:jc w:val="both"/>
      </w:pPr>
      <w:r>
        <w:rPr>
          <w:rFonts w:ascii="Times New Roman" w:hAnsi="Times New Roman"/>
          <w:b w:val="0"/>
          <w:i w:val="0"/>
          <w:sz w:val="22"/>
        </w:rPr>
        <w:t>Las ecuaciones las diseñó D.V. con la asistencia del modelo de lenguaje cuya intervención se declara en la sección 2.4, y las ejecutó D.V. en cada interfaz; los registros de PubMed y de ClinicalTrials.gov se descargaron por API con guiones escritos por el modelo, y sus recuentos se cuadraron con los de la interfaz.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usaron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val="0"/>
          <w:i/>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D.V. examinó uno a uno los informes que superaron el cribado antes de agruparlos en estudios, sin que ese examen quedara registrado informe a informe; la agrupación resultante se aporta íntegra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de cribado que ninguno de los 40 estudios del conjunto de control comprobables por PMID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procede de los cuadernos que entregaron los dos revisores, que el canal generó en blanco. El modelo intervino alrededor de ella: escribió esos cuadernos, unió en uno las dos pasadas que entregó el segundo revisor, comparó las dos extracciones, redactó las reglas de desenlace que decidieron los autores y tradujo a categorías las correcciones que firmaron tras releer los artículos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42 estudios conocidos a priori como elegibles, identificados en una revisión exploratoria previa; la comprobación automática alcanzaba a los 40 que tenían PMID.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de cribado (40 de 40 comprobables). No sigue a los controles después del cribado: de los 42, 35 siguen en el corpus final; salieron uno por idioma (Ronit 2024; sección 2.9), uno por no haberse podido leer su texto (Leitner 2021) y cinco por no disponer del artículo completo.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la recribó en Rayyan un solo revisor (D.V.), en modo ciego respecto del veredicto original y, en la primera pasada, sin los criterios a la vista. Los 6 registros que marcó como incluibles resultaron, contrastados por él mismo con los criterios de la sección 2.2, trabajo de laboratorio, de modelización o revisión sin datos primarios, y los reclasificó.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tuvo 21 variables de datos con vocabularios controlados; no consta un piloteo documentado. La extracción se hizo </w:t>
      </w:r>
      <w:r>
        <w:rPr>
          <w:rFonts w:ascii="Times New Roman" w:hAnsi="Times New Roman"/>
          <w:b w:val="0"/>
          <w:i/>
          <w:sz w:val="22"/>
        </w:rPr>
        <w:t>por duplicado</w:t>
      </w:r>
      <w:r>
        <w:rPr>
          <w:rFonts w:ascii="Times New Roman" w:hAnsi="Times New Roman"/>
          <w:b w:val="0"/>
          <w:i w:val="0"/>
          <w:sz w:val="22"/>
        </w:rPr>
        <w:t xml:space="preserve"> entre los dos revisores, pero su independencia no está acreditada: en la columna de texto libre que localiza cada dato, el cuaderno que el segundo revisor entregó el 26 de agosto de 2026 coincide carácter por carácter con el del primero en 107 de las 107 filas comparables, con las mismas erratas —«MATERILAES Y METODOS», 49 veces—, cuando el 23 de agosto no coincidía en ninguna.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Por lo dicho, esa concordancia no corresponde a dos lecturas independientes y debe leerse como un máximo. Hay 539 de 541 desacuerdos adjudicados. El registro de adjudicación anota un único responsable en 525 de las 541 filas (293 D.V. y 232 N.T.) y a los dos revisores en 14: las que quedaron abiertas —10 por el diseño del estudio, donde el formulario no ofrecía la opción que los revisores necesitaban, y 4 por datos que exigían releer el artículo—, firmadas por los dos el 14 de septiembre de 2026. Las 2 restantes se habían cerrado antes aplicando una regla mecánica sobre una comparación posteriormente rehecha, de modo que no llevan firma conjunta. El registro completo, resuelto a resuelto, se aporta como suplemento.</w:t>
      </w:r>
    </w:p>
    <w:p>
      <w:pPr>
        <w:jc w:val="both"/>
      </w:pPr>
      <w:r>
        <w:rPr>
          <w:rFonts w:ascii="Times New Roman" w:hAnsi="Times New Roman"/>
          <w:b w:val="0"/>
          <w:i/>
          <w:sz w:val="22"/>
        </w:rPr>
        <w:t>Relectura dirigida tras la adjudicación.</w:t>
      </w:r>
      <w:r>
        <w:rPr>
          <w:rFonts w:ascii="Times New Roman" w:hAnsi="Times New Roman"/>
          <w:b w:val="0"/>
          <w:i w:val="0"/>
          <w:sz w:val="22"/>
        </w:rP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y el 3 de octubre de 2026.</w:t>
      </w:r>
    </w:p>
    <w:p>
      <w:pPr>
        <w:jc w:val="both"/>
      </w:pPr>
      <w:r>
        <w:rPr>
          <w:rFonts w:ascii="Times New Roman" w:hAnsi="Times New Roman"/>
          <w:b w:val="0"/>
          <w:i w:val="0"/>
          <w:sz w:val="22"/>
        </w:rP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w:t>
      </w:r>
      <w:r>
        <w:rPr>
          <w:rFonts w:ascii="Times New Roman" w:hAnsi="Times New Roman"/>
          <w:b w:val="0"/>
          <w:i w:val="0"/>
          <w:sz w:val="22"/>
        </w:rPr>
        <w:t>: los 9 que el diseño adjudicado sobre el artículo identifica como comparativos, todos con texto completo, como el resto del corpus desde el criterio de la sección 2.9. Los ensayos aleatorizados con RoB 2 (10) y los no aleatorizados y las cohortes con ROBINS-I (11).</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Los juicios los rellenó cada autor en su propio cuaderno y se resolvieron por consenso, pero la independencia de los dos cuadernos no está acreditada.</w:t>
      </w:r>
      <w:r>
        <w:rPr>
          <w:rFonts w:ascii="Times New Roman" w:hAnsi="Times New Roman"/>
          <w:b w:val="0"/>
          <w:i w:val="0"/>
          <w:sz w:val="22"/>
        </w:rPr>
        <w:t xml:space="preserve"> El 5 de septiembre de 2026 los dos compartían 7 418 caracteres idénticos en las notas de apoyo y, en una primera versión, todos los juicios; el cuaderno de consenso lo generó el canal con los juicios coincidentes precargados. La concordancia entre los dos cuadernos se reporta en la sección 3.7, pero no mide dos evaluaciones independientes. Un estudio, incorporado a la evaluación después de los demás, tiene una sola lectura y se declara como tal.</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73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68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42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solo entran los estudios con el artículo completo.</w:t>
      </w:r>
      <w:r>
        <w:rPr>
          <w:rFonts w:ascii="Times New Roman" w:hAnsi="Times New Roman"/>
          <w:b w:val="0"/>
          <w:i w:val="0"/>
          <w:sz w:val="22"/>
        </w:rP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4 estudios</w:t>
      </w:r>
      <w:r>
        <w:rPr>
          <w:rFonts w:ascii="Times New Roman" w:hAnsi="Times New Roman"/>
          <w:b w:val="0"/>
          <w:i w:val="0"/>
          <w:sz w:val="22"/>
        </w:rPr>
        <w:t xml:space="preserve"> con el código NOREC y </w:t>
      </w:r>
      <w:r>
        <w:rPr>
          <w:rFonts w:ascii="Times New Roman" w:hAnsi="Times New Roman"/>
          <w:b w:val="0"/>
          <w:i/>
          <w:sz w:val="22"/>
        </w:rPr>
        <w:t>63</w:t>
      </w:r>
      <w:r>
        <w:rPr>
          <w:rFonts w:ascii="Times New Roman" w:hAnsi="Times New Roman"/>
          <w:b w:val="0"/>
          <w:i w:val="0"/>
          <w:sz w:val="22"/>
        </w:rP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rFonts w:ascii="Times New Roman" w:hAnsi="Times New Roman"/>
          <w:b w:val="0"/>
          <w:i/>
          <w:sz w:val="22"/>
        </w:rPr>
        <w:t>todo estudio sin el PDF del artículo completo con acceso</w:t>
      </w:r>
      <w:r>
        <w:rPr>
          <w:rFonts w:ascii="Times New Roman" w:hAnsi="Times New Roman"/>
          <w:b w:val="0"/>
          <w:i w:val="0"/>
          <w:sz w:val="22"/>
        </w:rPr>
        <w:t xml:space="preserve"> (código NOPDF): 21 estudios cuyo artículo no se obtuvo —3 de ellos solo existen como resumen de congreso— y 42 que solo existen como ficha de registro de ensayo. El corpus pasó de 128 a 65 estudios.</w:t>
      </w:r>
    </w:p>
    <w:p>
      <w:pPr>
        <w:jc w:val="both"/>
      </w:pPr>
      <w:r>
        <w:rPr>
          <w:rFonts w:ascii="Times New Roman" w:hAnsi="Times New Roman"/>
          <w:b w:val="0"/>
          <w:i w:val="0"/>
          <w:sz w:val="22"/>
        </w:rPr>
        <w:t xml:space="preserve">Hasta esa fecha esta misma sección desaconsejaba generalizar NOREC, y el motivo sigue en pie: con el criterio ampliado, la recuperación de texto completo del corpus es del 100 % </w:t>
      </w:r>
      <w:r>
        <w:rPr>
          <w:rFonts w:ascii="Times New Roman" w:hAnsi="Times New Roman"/>
          <w:b w:val="0"/>
          <w:i/>
          <w:sz w:val="22"/>
        </w:rPr>
        <w:t>por construcción</w:t>
      </w:r>
      <w:r>
        <w:rPr>
          <w:rFonts w:ascii="Times New Roman" w:hAnsi="Times New Roman"/>
          <w:b w:val="0"/>
          <w:i w:val="0"/>
          <w:sz w:val="22"/>
        </w:rPr>
        <w:t xml:space="preserve">, y el sesgo de recuperación que la sección 3.2 medía dentro del corpus deja de poder medirse ahí. Por eso se mide como </w:t>
      </w:r>
      <w:r>
        <w:rPr>
          <w:rFonts w:ascii="Times New Roman" w:hAnsi="Times New Roman"/>
          <w:b w:val="0"/>
          <w:i/>
          <w:sz w:val="22"/>
        </w:rPr>
        <w:t>efecto del criterio</w:t>
      </w:r>
      <w:r>
        <w:rPr>
          <w:rFonts w:ascii="Times New Roman" w:hAnsi="Times New Roman"/>
          <w:b w:val="0"/>
          <w:i w:val="0"/>
          <w:sz w:val="22"/>
        </w:rPr>
        <w:t xml:space="preserve"> (Tabla 3). Contando las dos fechas, el criterio deja fuera 67 estudios, y no son una muestra aleatoria: se lleva </w:t>
      </w:r>
      <w:r>
        <w:rPr>
          <w:rFonts w:ascii="Times New Roman" w:hAnsi="Times New Roman"/>
          <w:b w:val="0"/>
          <w:i/>
          <w:sz w:val="22"/>
        </w:rPr>
        <w:t>7 de los 9 diseños comparativos (77,8 %)</w:t>
      </w:r>
      <w:r>
        <w:rPr>
          <w:rFonts w:ascii="Times New Roman" w:hAnsi="Times New Roman"/>
          <w:b w:val="0"/>
          <w:i w:val="0"/>
          <w:sz w:val="22"/>
        </w:rPr>
        <w:t xml:space="preserve"> y 5 de los 7 ensayos aleatorizados. Los autores lo adoptaron conociendo ese efecto, y se declara aquí, con su fecha, en lugar de presentarse como si hubiera regido desde el principio.</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De ellos, </w:t>
      </w:r>
      <w:r>
        <w:rPr>
          <w:rFonts w:ascii="Times New Roman" w:hAnsi="Times New Roman"/>
          <w:b w:val="0"/>
          <w:i/>
          <w:sz w:val="22"/>
        </w:rPr>
        <w:t>118 salieron del corpus</w:t>
      </w:r>
      <w:r>
        <w:rPr>
          <w:rFonts w:ascii="Times New Roman" w:hAnsi="Times New Roman"/>
          <w:b w:val="0"/>
          <w:i w:val="0"/>
          <w:sz w:val="22"/>
        </w:rPr>
        <w:t xml:space="preserve">: 63 por no disponer del PDF del artículo completo (sección 2.9) y 55 por no cumplir los criterios de elegibilidad, comprobado sobre el artículo o sobre la ficha del registro; el apartado siguiente los detalla. El cuerpo de evidencia queda en </w:t>
      </w:r>
      <w:r>
        <w:rPr>
          <w:rFonts w:ascii="Times New Roman" w:hAnsi="Times New Roman"/>
          <w:b w:val="0"/>
          <w:i/>
          <w:sz w:val="22"/>
        </w:rPr>
        <w:t>65 estudios</w:t>
      </w:r>
      <w:r>
        <w:rPr>
          <w:rFonts w:ascii="Times New Roman" w:hAnsi="Times New Roman"/>
          <w:b w:val="0"/>
          <w:i w:val="0"/>
          <w:sz w:val="22"/>
        </w:rP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spacing w:before="200" w:after="100"/>
      </w:pPr>
      <w:r>
        <w:rPr>
          <w:rFonts w:ascii="Times New Roman" w:hAnsi="Times New Roman"/>
          <w:b/>
          <w:i w:val="0"/>
          <w:sz w:val="22"/>
        </w:rPr>
        <w:t>3.1.1 Los 118 estudios que el cribado admitió y que salieron después</w:t>
      </w:r>
    </w:p>
    <w:p>
      <w:pPr>
        <w:jc w:val="both"/>
      </w:pPr>
      <w:r>
        <w:rPr>
          <w:rFonts w:ascii="Times New Roman" w:hAnsi="Times New Roman"/>
          <w:b w:val="0"/>
          <w:i/>
          <w:sz w:val="22"/>
        </w:rPr>
        <w:t>Sesenta y tres salieron por no disponer del artículo completo</w:t>
      </w:r>
      <w:r>
        <w:rPr>
          <w:rFonts w:ascii="Times New Roman" w:hAnsi="Times New Roman"/>
          <w:b w:val="0"/>
          <w:i w:val="0"/>
          <w:sz w:val="22"/>
        </w:rP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no cumplir los criterios.</w:t>
      </w:r>
    </w:p>
    <w:p>
      <w:pPr>
        <w:jc w:val="both"/>
      </w:pPr>
      <w:r>
        <w:rPr>
          <w:rFonts w:ascii="Times New Roman" w:hAnsi="Times New Roman"/>
          <w:b w:val="0"/>
          <w:i/>
          <w:sz w:val="22"/>
        </w:rPr>
        <w:t>Treinta y ocho salieron al juzgarlos sobre su publicación.</w:t>
      </w:r>
      <w:r>
        <w:rPr>
          <w:rFonts w:ascii="Times New Roman" w:hAnsi="Times New Roman"/>
          <w:b w:val="0"/>
          <w:i w:val="0"/>
          <w:sz w:val="22"/>
        </w:rPr>
        <w:t xml:space="preserve"> Se excluyeron por ocho motivos, y ninguno es una discrepancia de criterio: son estudios que no cumplen lo que la sección 2.2 ya exigía. </w:t>
      </w:r>
      <w:r>
        <w:rPr>
          <w:rFonts w:ascii="Times New Roman" w:hAnsi="Times New Roman"/>
          <w:b w:val="0"/>
          <w:i/>
          <w:sz w:val="22"/>
        </w:rPr>
        <w:t>Treinta</w:t>
      </w:r>
      <w:r>
        <w:rPr>
          <w:rFonts w:ascii="Times New Roman" w:hAnsi="Times New Roman"/>
          <w:b w:val="0"/>
          <w:i w:val="0"/>
          <w:sz w:val="22"/>
        </w:rPr>
        <w:t xml:space="preserve"> salieron de leer su artículo. </w:t>
      </w:r>
      <w:r>
        <w:rPr>
          <w:rFonts w:ascii="Times New Roman" w:hAnsi="Times New Roman"/>
          <w:b w:val="0"/>
          <w:i/>
          <w:sz w:val="22"/>
        </w:rPr>
        <w:t>Dieciséis</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rFonts w:ascii="Times New Roman" w:hAnsi="Times New Roman"/>
          <w:b w:val="0"/>
          <w:i/>
          <w:sz w:val="22"/>
        </w:rPr>
        <w:t>Cinco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sz w:val="22"/>
        </w:rPr>
        <w:t>Cuatro más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eran </w:t>
      </w:r>
      <w:r>
        <w:rPr>
          <w:rFonts w:ascii="Times New Roman" w:hAnsi="Times New Roman"/>
          <w:b w:val="0"/>
          <w:i/>
          <w:sz w:val="22"/>
        </w:rPr>
        <w:t>29 de los 95 estudios extraíbles de entonces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sz w:val="22"/>
        </w:rPr>
        <w:t>Cuatro</w:t>
      </w:r>
      <w:r>
        <w:rPr>
          <w:rFonts w:ascii="Times New Roman" w:hAnsi="Times New Roman"/>
          <w:b w:val="0"/>
          <w:i w:val="0"/>
          <w:sz w:val="22"/>
        </w:rPr>
        <w:t xml:space="preserve"> salieron, por último, por </w:t>
      </w:r>
      <w:r>
        <w:rPr>
          <w:rFonts w:ascii="Times New Roman" w:hAnsi="Times New Roman"/>
          <w:b w:val="0"/>
          <w:i/>
          <w:sz w:val="22"/>
        </w:rPr>
        <w:t>NOREC</w:t>
      </w:r>
      <w:r>
        <w:rPr>
          <w:rFonts w:ascii="Times New Roman" w:hAnsi="Times New Roman"/>
          <w:b w:val="0"/>
          <w:i w:val="0"/>
          <w:sz w:val="22"/>
        </w:rPr>
        <w:t xml:space="preserve"> (sección 2.9): el texto completo no pudo leerse y, sin él, un criterio no pudo verificarse contra el artículo. Uno es el ensayo aleatorizado que describe la sección 2.9.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rFonts w:ascii="Times New Roman" w:hAnsi="Times New Roman"/>
          <w:b w:val="0"/>
          <w:i/>
          <w:sz w:val="22"/>
        </w:rPr>
        <w:t>30,1 %</w:t>
      </w:r>
      <w:r>
        <w:rPr>
          <w:rFonts w:ascii="Times New Roman" w:hAnsi="Times New Roman"/>
          <w:b w:val="0"/>
          <w:i w:val="0"/>
          <w:sz w:val="22"/>
        </w:rPr>
        <w:t xml:space="preserve"> de los 93 estudios cuyo texto completo se pudo leer. Es un suelo, no un total: los 63 que salieron por no disponer del artículo nunca se comprobaron contra él.</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38 anteriores se juzgaron sobre su publicación; estos no tienen ninguna.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se descargó la ficha completa de cada una de ClinicalTrials.gov y del registro europeo CTIS, y se leyeron una por una.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superaron el criterio de población; como ninguna tiene artículo publicado, salieron después por el criterio del texto completo (sección 2.9).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Los 65 estudios del corpus tienen todos su artículo completo. Antes del criterio del texto completo, </w:t>
      </w:r>
      <w:r>
        <w:rPr>
          <w:rFonts w:ascii="Times New Roman" w:hAnsi="Times New Roman"/>
          <w:b w:val="0"/>
          <w:i/>
          <w:sz w:val="22"/>
        </w:rPr>
        <w:t>42 de los 128 estudios eran únicamente fichas de registro de ensayo</w:t>
      </w:r>
      <w:r>
        <w:rPr>
          <w:rFonts w:ascii="Times New Roman" w:hAnsi="Times New Roman"/>
          <w:b w:val="0"/>
          <w:i w:val="0"/>
          <w:sz w:val="22"/>
        </w:rPr>
        <w:t>, sin publicación asociada localizable. Esa cifra, que el criterio saca del corpus pero no del campo, basta por sí sola para describir una literatura en la que casi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Los 65 estudios del corpus tienen su texto completo, obtenido por vías de acceso abierto legítimas. Desde el criterio de la sección 2.9 esa es la condición de entrada, de modo que la tasa del </w:t>
      </w:r>
      <w:r>
        <w:rPr>
          <w:rFonts w:ascii="Times New Roman" w:hAnsi="Times New Roman"/>
          <w:b w:val="0"/>
          <w:i/>
          <w:sz w:val="22"/>
        </w:rPr>
        <w:t>100,0 %</w:t>
      </w:r>
      <w:r>
        <w:rPr>
          <w:rFonts w:ascii="Times New Roman" w:hAnsi="Times New Roman"/>
          <w:b w:val="0"/>
          <w:i w:val="0"/>
          <w:sz w:val="22"/>
        </w:rPr>
        <w:t xml:space="preserve"> no mide la recuperación, sino el criterio. La recuperación se mide justo antes de él: el texto se había obtenido para </w:t>
      </w:r>
      <w:r>
        <w:rPr>
          <w:rFonts w:ascii="Times New Roman" w:hAnsi="Times New Roman"/>
          <w:b w:val="0"/>
          <w:i/>
          <w:sz w:val="22"/>
        </w:rPr>
        <w:t>65 de los 86 estudios con artículo o resumen (75,6 %)</w:t>
      </w:r>
      <w:r>
        <w:rPr>
          <w:rFonts w:ascii="Times New Roman" w:hAnsi="Times New Roman"/>
          <w:b w:val="0"/>
          <w:i w:val="0"/>
          <w:sz w:val="22"/>
        </w:rP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pPr>
        <w:jc w:val="both"/>
      </w:pPr>
      <w:r>
        <w:rPr>
          <w:rFonts w:ascii="Times New Roman" w:hAnsi="Times New Roman"/>
          <w:b w:val="0"/>
          <w:i w:val="0"/>
          <w:sz w:val="22"/>
        </w:rPr>
        <w:t xml:space="preserve">La fracción no obtenida </w:t>
      </w:r>
      <w:r>
        <w:rPr>
          <w:rFonts w:ascii="Times New Roman" w:hAnsi="Times New Roman"/>
          <w:b w:val="0"/>
          <w:i/>
          <w:sz w:val="22"/>
        </w:rPr>
        <w:t>no era una muestra aleatoria del conjunto</w:t>
      </w:r>
      <w:r>
        <w:rPr>
          <w:rFonts w:ascii="Times New Roman" w:hAnsi="Times New Roman"/>
          <w:b w:val="0"/>
          <w:i w:val="0"/>
          <w:sz w:val="22"/>
        </w:rPr>
        <w:t xml:space="preserve"> (Tabla 3), y el criterio que la excluye tampoco lo es. Contando los 4 estudios de NOREC, los estudios que el criterio deja fuera contienen 7 de los 9 diseños comparativos, el </w:t>
      </w:r>
      <w:r>
        <w:rPr>
          <w:rFonts w:ascii="Times New Roman" w:hAnsi="Times New Roman"/>
          <w:b w:val="0"/>
          <w:i/>
          <w:sz w:val="22"/>
        </w:rPr>
        <w:t>77,8 %</w:t>
      </w:r>
      <w:r>
        <w:rPr>
          <w:rFonts w:ascii="Times New Roman" w:hAnsi="Times New Roman"/>
          <w:b w:val="0"/>
          <w:i w:val="0"/>
          <w:sz w:val="22"/>
        </w:rPr>
        <w:t>, aunque declaran menos pacientes en total. De los 7 ensayos aleatorizados identificados con artículo o resumen, el corpus conserva 2 —PhagoBurn (17) y BX004-A (18)—, y los otros 5 salieron por el criterio, entre ellos el de TP-102 (19).</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65 estudios del corpus se publicaron entre </w:t>
      </w:r>
      <w:r>
        <w:rPr>
          <w:rFonts w:ascii="Times New Roman" w:hAnsi="Times New Roman"/>
          <w:b w:val="0"/>
          <w:i/>
          <w:sz w:val="22"/>
        </w:rPr>
        <w:t>2017 y 2026</w:t>
      </w:r>
      <w:r>
        <w:rPr>
          <w:rFonts w:ascii="Times New Roman" w:hAnsi="Times New Roman"/>
          <w:b w:val="0"/>
          <w:i w:val="0"/>
          <w:sz w:val="22"/>
        </w:rPr>
        <w:t xml:space="preserve">, y el </w:t>
      </w:r>
      <w:r>
        <w:rPr>
          <w:rFonts w:ascii="Times New Roman" w:hAnsi="Times New Roman"/>
          <w:b w:val="0"/>
          <w:i/>
          <w:sz w:val="22"/>
        </w:rPr>
        <w:t>86,2 %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34 reportes de caso único (52,3 %)</w:t>
      </w:r>
      <w:r>
        <w:rPr>
          <w:rFonts w:ascii="Times New Roman" w:hAnsi="Times New Roman"/>
          <w:b w:val="0"/>
          <w:i w:val="0"/>
          <w:sz w:val="22"/>
        </w:rPr>
        <w:t xml:space="preserve">, 16 series de casos, 7 cohortes prospectivas, 2 ensayos aleatorizados, 0 ensayos no aleatorizados y 3 cohortes retrospectivas. Otros 3 no declaran su diseño de forma reconocible en el resumen. Los comparativos suman </w:t>
      </w:r>
      <w:r>
        <w:rPr>
          <w:rFonts w:ascii="Times New Roman" w:hAnsi="Times New Roman"/>
          <w:b w:val="0"/>
          <w:i/>
          <w:sz w:val="22"/>
        </w:rPr>
        <w:t>2 estudios, el 3,1 %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70,8 %</w:t>
      </w:r>
      <w:r>
        <w:rPr>
          <w:rFonts w:ascii="Times New Roman" w:hAnsi="Times New Roman"/>
          <w:b w:val="0"/>
          <w:i w:val="0"/>
          <w:sz w:val="22"/>
        </w:rP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49,2 %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26,2 %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96,9 %</w:t>
      </w:r>
      <w:r>
        <w:rPr>
          <w:rFonts w:ascii="Times New Roman" w:hAnsi="Times New Roman"/>
          <w:b w:val="0"/>
          <w:i w:val="0"/>
          <w:sz w:val="22"/>
        </w:rPr>
        <w:t>.</w:t>
      </w:r>
    </w:p>
    <w:p>
      <w:pPr>
        <w:jc w:val="both"/>
      </w:pPr>
      <w:r>
        <w:rPr>
          <w:rFonts w:ascii="Times New Roman" w:hAnsi="Times New Roman"/>
          <w:b w:val="0"/>
          <w:i w:val="0"/>
          <w:sz w:val="22"/>
        </w:rP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rFonts w:ascii="Times New Roman" w:hAnsi="Times New Roman"/>
          <w:b w:val="0"/>
          <w:i/>
          <w:sz w:val="22"/>
        </w:rPr>
        <w:t>En 8 de los 73 brazos la clase queda por debajo del umbral de multirresistencia</w:t>
      </w:r>
      <w:r>
        <w:rPr>
          <w:rFonts w:ascii="Times New Roman" w:hAnsi="Times New Roman"/>
          <w:b w:val="0"/>
          <w:i w:val="0"/>
          <w:sz w:val="22"/>
        </w:rP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pPr>
        <w:jc w:val="both"/>
      </w:pPr>
      <w:r>
        <w:rPr>
          <w:rFonts w:ascii="Times New Roman" w:hAnsi="Times New Roman"/>
          <w:b w:val="0"/>
          <w:i/>
          <w:sz w:val="22"/>
        </w:rPr>
        <w:t>La clase se comprobó después contra el artículo.</w:t>
      </w:r>
      <w:r>
        <w:rPr>
          <w:rFonts w:ascii="Times New Roman" w:hAnsi="Times New Roman"/>
          <w:b w:val="0"/>
          <w:i w:val="0"/>
          <w:sz w:val="22"/>
        </w:rP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rFonts w:ascii="Times New Roman" w:hAnsi="Times New Roman"/>
          <w:b w:val="0"/>
          <w:i/>
          <w:sz w:val="22"/>
        </w:rPr>
        <w:t>P. aeruginosa</w:t>
      </w:r>
      <w:r>
        <w:rPr>
          <w:rFonts w:ascii="Times New Roman" w:hAnsi="Times New Roman"/>
          <w:b w:val="0"/>
          <w:i w:val="0"/>
          <w:sz w:val="22"/>
        </w:rPr>
        <w:t xml:space="preserve"> tratado con fagos. Los dos autores excluyeron 5 con el código ORG (EST-009, EST-055, EST-132, EST-181 y EST-208; sección 3.1.1) y mantuvieron 4, que se declaran aquí con lo que el artículo dice: en EST-152 y EST-170 la única mención de </w:t>
      </w:r>
      <w:r>
        <w:rPr>
          <w:rFonts w:ascii="Times New Roman" w:hAnsi="Times New Roman"/>
          <w:b w:val="0"/>
          <w:i/>
          <w:sz w:val="22"/>
        </w:rPr>
        <w:t>P. aeruginosa</w:t>
      </w:r>
      <w:r>
        <w:rPr>
          <w:rFonts w:ascii="Times New Roman" w:hAnsi="Times New Roman"/>
          <w:b w:val="0"/>
          <w:i w:val="0"/>
          <w:sz w:val="22"/>
        </w:rPr>
        <w:t xml:space="preserve"> es la descripción del paciente de otro estudio del corpus (EST-049 y EST-106), y en EST-129 y EST-135 el paciente tuvo </w:t>
      </w:r>
      <w:r>
        <w:rPr>
          <w:rFonts w:ascii="Times New Roman" w:hAnsi="Times New Roman"/>
          <w:b w:val="0"/>
          <w:i/>
          <w:sz w:val="22"/>
        </w:rPr>
        <w:t>P. aeruginosa</w:t>
      </w:r>
      <w:r>
        <w:rPr>
          <w:rFonts w:ascii="Times New Roman" w:hAnsi="Times New Roman"/>
          <w:b w:val="0"/>
          <w:i w:val="0"/>
          <w:sz w:val="22"/>
        </w:rPr>
        <w:t xml:space="preserve">, pero el fago no se dirigió contra ella. Lo mismo ocurre en EST-051, que también se mantiene. En EST-096, que se mantiene por la misma decisión, la paciente 10 sí recibió un fago contra </w:t>
      </w:r>
      <w:r>
        <w:rPr>
          <w:rFonts w:ascii="Times New Roman" w:hAnsi="Times New Roman"/>
          <w:b w:val="0"/>
          <w:i/>
          <w:sz w:val="22"/>
        </w:rPr>
        <w:t>P. aeruginosa</w:t>
      </w:r>
      <w:r>
        <w:rPr>
          <w:rFonts w:ascii="Times New Roman" w:hAnsi="Times New Roman"/>
          <w:b w:val="0"/>
          <w:i w:val="0"/>
          <w:sz w:val="22"/>
        </w:rPr>
        <w:t xml:space="preserve"> (Ps1N/734), pero las dos tablas del artículo se contradicen sobre si la bacteria seguía presente al iniciar el tratamiento.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rFonts w:ascii="Times New Roman" w:hAnsi="Times New Roman"/>
          <w:b w:val="0"/>
          <w:i/>
          <w:sz w:val="22"/>
        </w:rPr>
        <w:t>P. aeruginosa</w:t>
      </w:r>
      <w:r>
        <w:rPr>
          <w:rFonts w:ascii="Times New Roman" w:hAnsi="Times New Roman"/>
          <w:b w:val="0"/>
          <w:i w:val="0"/>
          <w:sz w:val="22"/>
        </w:rP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73 brazos del corpus vigente.</w:t>
      </w:r>
    </w:p>
    <w:p>
      <w:pPr>
        <w:jc w:val="both"/>
      </w:pPr>
      <w:r>
        <w:rPr>
          <w:rFonts w:ascii="Times New Roman" w:hAnsi="Times New Roman"/>
          <w:b w:val="0"/>
          <w:i w:val="0"/>
          <w:sz w:val="22"/>
        </w:rP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rFonts w:ascii="Times New Roman" w:hAnsi="Times New Roman"/>
          <w:b w:val="0"/>
          <w:i/>
          <w:sz w:val="22"/>
        </w:rPr>
        <w:t>hoy ningún brazo declara una proporción imposible</w:t>
      </w:r>
      <w:r>
        <w:rPr>
          <w:rFonts w:ascii="Times New Roman" w:hAnsi="Times New Roman"/>
          <w:b w:val="0"/>
          <w:i w:val="0"/>
          <w:sz w:val="22"/>
        </w:rP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pPr>
        <w:jc w:val="both"/>
      </w:pPr>
      <w:r>
        <w:rPr>
          <w:rFonts w:ascii="Times New Roman" w:hAnsi="Times New Roman"/>
          <w:b w:val="0"/>
          <w:i w:val="0"/>
          <w:sz w:val="22"/>
        </w:rPr>
        <w:t xml:space="preserve">Ese 87,7 % es, sin embargo, engañoso si se lee como disponibilidad para agregar. </w:t>
      </w:r>
      <w:r>
        <w:rPr>
          <w:rFonts w:ascii="Times New Roman" w:hAnsi="Times New Roman"/>
          <w:b w:val="0"/>
          <w:i/>
          <w:sz w:val="22"/>
        </w:rPr>
        <w:t>En 43 de los 73 brazos (58,9 %) no consta una definición operativa de éxito clínico</w:t>
      </w:r>
      <w:r>
        <w:rPr>
          <w:rFonts w:ascii="Times New Roman" w:hAnsi="Times New Roman"/>
          <w:b w:val="0"/>
          <w:i w:val="0"/>
          <w:sz w:val="22"/>
        </w:rP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pPr>
        <w:jc w:val="both"/>
      </w:pPr>
      <w:r>
        <w:rPr>
          <w:rFonts w:ascii="Times New Roman" w:hAnsi="Times New Roman"/>
          <w:b w:val="0"/>
          <w:i w:val="0"/>
          <w:sz w:val="22"/>
        </w:rPr>
        <w:t xml:space="preserve">El diseño consta en los 73 brazos: </w:t>
      </w:r>
      <w:r>
        <w:rPr>
          <w:rFonts w:ascii="Times New Roman" w:hAnsi="Times New Roman"/>
          <w:b w:val="0"/>
          <w:i/>
          <w:sz w:val="22"/>
        </w:rPr>
        <w:t>4 brazos son ensayos</w:t>
      </w:r>
      <w:r>
        <w:rPr>
          <w:rFonts w:ascii="Times New Roman" w:hAnsi="Times New Roman"/>
          <w:b w:val="0"/>
          <w:i w:val="0"/>
          <w:sz w:val="22"/>
        </w:rPr>
        <w:t xml:space="preserve"> (aleatorizados o no) y </w:t>
      </w:r>
      <w:r>
        <w:rPr>
          <w:rFonts w:ascii="Times New Roman" w:hAnsi="Times New Roman"/>
          <w:b w:val="0"/>
          <w:i/>
          <w:sz w:val="22"/>
        </w:rPr>
        <w:t>8 son cohortes</w:t>
      </w:r>
      <w:r>
        <w:rPr>
          <w:rFonts w:ascii="Times New Roman" w:hAnsi="Times New Roman"/>
          <w:b w:val="0"/>
          <w:i w:val="0"/>
          <w:sz w:val="22"/>
        </w:rP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73</w:t>
      </w:r>
      <w:r>
        <w:rPr>
          <w:rFonts w:ascii="Times New Roman" w:hAnsi="Times New Roman"/>
          <w:b w:val="0"/>
          <w:i w:val="0"/>
          <w:sz w:val="22"/>
        </w:rPr>
        <w:t>. Los dos siguientes son los criterios de elegibilidad que esta misma revisión declara en la sección 2.2, y solo uno de esos 2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73 brazos de esta literatura, </w:t>
      </w:r>
      <w:r>
        <w:rPr>
          <w:rFonts w:ascii="Times New Roman" w:hAnsi="Times New Roman"/>
          <w:b w:val="0"/>
          <w:i/>
          <w:sz w:val="22"/>
        </w:rPr>
        <w:t>ninguno reúne a la vez las condiciones aritméticas, los criterios de elegibilidad y la métrica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 los artículos del corpus,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Los 2 ensayos aleatorizados del corpus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efecto del criterio del texto completo documentado en la sección 3.2: 7 de los 9 diseños comparativos que el corpus habría podido aportar a una síntesis quedaron fuera de él.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cuadernos de los dos revisores, en 8 de los 9 estudios evaluables, coinciden en 49 de los 60 juicios comparables (81,7 %; kappa de Cohen 0,74), una concordancia que no mide dos evaluaciones independientes (sección 2.7). Los 11 desacuerdos se resolvieron por consenso, los 11 hacia el juicio del cuaderno de D.V.. El estudio restante se evaluó en un cuaderno aparte y tiene una sola lectura.</w:t>
      </w:r>
    </w:p>
    <w:p>
      <w:pPr>
        <w:jc w:val="both"/>
      </w:pPr>
      <w:r>
        <w:rPr>
          <w:rFonts w:ascii="Times New Roman" w:hAnsi="Times New Roman"/>
          <w:b w:val="0"/>
          <w:i w:val="0"/>
          <w:sz w:val="22"/>
        </w:rP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rFonts w:ascii="Times New Roman" w:hAnsi="Times New Roman"/>
          <w:b w:val="0"/>
          <w:i/>
          <w:sz w:val="22"/>
        </w:rPr>
        <w:t>P. aeruginosa</w:t>
      </w:r>
      <w:r>
        <w:rPr>
          <w:rFonts w:ascii="Times New Roman" w:hAnsi="Times New Roman"/>
          <w:b w:val="0"/>
          <w:i w:val="0"/>
          <w:sz w:val="22"/>
        </w:rPr>
        <w:t xml:space="preserve"> (EST-008 y EST-021; el de EST-008, parcial).</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EST-004</w:t>
            </w:r>
          </w:p>
        </w:tc>
        <w:tc>
          <w:tcPr>
            <w:tcW w:type="dxa" w:w="821"/>
          </w:tcPr>
          <w:p>
            <w:r/>
            <w:r>
              <w:rPr>
                <w:rFonts w:ascii="Times New Roman" w:hAnsi="Times New Roman"/>
                <w:b w:val="0"/>
                <w:i w:val="0"/>
                <w:sz w:val="18"/>
              </w:rPr>
              <w:t>prospective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siete y todas materiales. </w:t>
      </w:r>
      <w:r>
        <w:rPr>
          <w:rFonts w:ascii="Times New Roman" w:hAnsi="Times New Roman"/>
          <w:b w:val="0"/>
          <w:i/>
          <w:sz w:val="22"/>
        </w:rPr>
        <w:t>Primera:</w:t>
      </w:r>
      <w:r>
        <w:rPr>
          <w:rFonts w:ascii="Times New Roman" w:hAnsi="Times New Roman"/>
          <w:b w:val="0"/>
          <w:i w:val="0"/>
          <w:sz w:val="22"/>
        </w:rP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rFonts w:ascii="Times New Roman" w:hAnsi="Times New Roman"/>
          <w:b w:val="0"/>
          <w:i/>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Ni la extracción ni el riesgo de sesgo tienen acreditada la independencia de sus dos lecturas: los cuadernos de extracción comparten carácter por carácter una columna de texto libre (sección 2.6), y los de riesgo de sesgo, 7 418 caracteres de notas (sección 2.7). La concordancia entre los dos de riesgo de sesgo fue del 81,7 % (49 de 60 juicios; kappa de Cohen 0,74), y los 11 desacuerdos se resolvieron todos hacia el cuaderno de D.V. </w:t>
      </w:r>
      <w:r>
        <w:rPr>
          <w:rFonts w:ascii="Times New Roman" w:hAnsi="Times New Roman"/>
          <w:b w:val="0"/>
          <w:i/>
          <w:sz w:val="22"/>
        </w:rPr>
        <w:t>Quinta:</w:t>
      </w:r>
      <w:r>
        <w:rPr>
          <w:rFonts w:ascii="Times New Roman" w:hAnsi="Times New Roman"/>
          <w:b w:val="0"/>
          <w:i w:val="0"/>
          <w:sz w:val="22"/>
        </w:rP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rFonts w:ascii="Times New Roman" w:hAnsi="Times New Roman"/>
          <w:b w:val="0"/>
          <w:i/>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 </w:t>
      </w:r>
      <w:r>
        <w:rPr>
          <w:rFonts w:ascii="Times New Roman" w:hAnsi="Times New Roman"/>
          <w:b w:val="0"/>
          <w:i/>
          <w:sz w:val="22"/>
        </w:rPr>
        <w:t>Séptima:</w:t>
      </w:r>
      <w:r>
        <w:rPr>
          <w:rFonts w:ascii="Times New Roman" w:hAnsi="Times New Roman"/>
          <w:b w:val="0"/>
          <w:i w:val="0"/>
          <w:sz w:val="22"/>
        </w:rPr>
        <w:t xml:space="preserve"> el corpus cuenta informes y estudios, no pacientes distintos, y contiene </w:t>
      </w:r>
      <w:r>
        <w:rPr>
          <w:rFonts w:ascii="Times New Roman" w:hAnsi="Times New Roman"/>
          <w:b w:val="0"/>
          <w:i/>
          <w:sz w:val="22"/>
        </w:rPr>
        <w:t>20 pacientes descritos en más de un estudio</w:t>
      </w:r>
      <w:r>
        <w:rPr>
          <w:rFonts w:ascii="Times New Roman" w:hAnsi="Times New Roman"/>
          <w:b w:val="0"/>
          <w:i w:val="0"/>
          <w:sz w:val="22"/>
        </w:rP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rFonts w:ascii="Times New Roman" w:hAnsi="Times New Roman"/>
          <w:b w:val="0"/>
          <w:i/>
          <w:sz w:val="22"/>
        </w:rPr>
        <w:t>7 son estudios de este corpus</w:t>
      </w:r>
      <w:r>
        <w:rPr>
          <w:rFonts w:ascii="Times New Roman" w:hAnsi="Times New Roman"/>
          <w:b w:val="0"/>
          <w:i w:val="0"/>
          <w:sz w:val="22"/>
        </w:rP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y 15 los encontró la lectura. 19 se confirmaron, 11 se descartaron y </w:t>
      </w:r>
      <w:r>
        <w:rPr>
          <w:rFonts w:ascii="Times New Roman" w:hAnsi="Times New Roman"/>
          <w:b w:val="0"/>
          <w:i/>
          <w:sz w:val="22"/>
        </w:rPr>
        <w:t>ninguno queda sin leer</w:t>
      </w:r>
      <w:r>
        <w:rPr>
          <w:rFonts w:ascii="Times New Roman" w:hAnsi="Times New Roman"/>
          <w:b w:val="0"/>
          <w:i w:val="0"/>
          <w:sz w:val="22"/>
        </w:rPr>
        <w:t>; el veredicto de cada par lleva la frase en que se apoya y la firma de los dos autores (anexo S21). Como la revisión no publica ninguna estimación agrupada, la duplicación no altera ninguna cifra de efecto, pero impide leer el corpus como 65 conjuntos disjuntos de pacientes.</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(diseño de las búsquedas, con la asistencia del modelo de lenguaje, y su ejecución en las ocho fuentes), software (dirección del canal de cribado, agrupación y cálculo de cifras, programado con el modelo de lenguaje), curación de datos, extracción de datos, redacción del borrador original, visualización, administración del proyecto. </w:t>
      </w:r>
      <w:r>
        <w:rPr>
          <w:rFonts w:ascii="Times New Roman" w:hAnsi="Times New Roman"/>
          <w:b w:val="0"/>
          <w:i/>
          <w:sz w:val="22"/>
        </w:rPr>
        <w:t>N. Trelles:</w:t>
      </w:r>
      <w:r>
        <w:rPr>
          <w:rFonts w:ascii="Times New Roman" w:hAnsi="Times New Roman"/>
          <w:b w:val="0"/>
          <w:i w:val="0"/>
          <w:sz w:val="22"/>
        </w:rPr>
        <w:t xml:space="preserve"> metodología (decisión, con D.V., de las reglas de desenlace que propuso el modelo de lenguaje), investigación, extracción de datos (122 de los 124 estudios), validación, revisión y edición del manuscrito.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El cribado lo condujo un solo revisor humano (D.V.), sin duplicación por un segundo revisor. Un modelo de lenguaje generativo (Claude Opus 5, Anthropic) emitió las decisiones registro a registro del cribado de títulos y resúmenes, incluidas las 35 exclusiones por idioma de la etapa de resumen, y la pre-extracción desde resúmenes, aplicando los criterios y el vocabulario cerrado que fijaron los autores. D.V. examinó uno a uno los informes que superaron el cribado, sin que ese examen quedara registrado; los que el modelo excluyó no los releyó ningún humano, salvo una muestra de 350 que recribó D.V. El modelo asistió además en el diseño de las ecuaciones de búsqueda, que D.V. ejecutó en cada interfaz; escribió y ejecutó el código del canal, incluidas la descarga por API de PubMed y ClinicalTrials.gov, la generación, consolidación y comparación de los cuadernos de extracción y el cuaderno de consenso del riesgo de sesgo, que precargó con los juicios coincidentes; redactó las propuestas de criterios y de reglas de extracción que decidieron los autores; localizó y propuso, con su cita, las exclusiones a texto completo, que firmaron los autores; y redactó los borradores del manuscrito. La extracción de datos y los juicios de riesgo de sesgo los emitieron los autores, aunque sin independencia acreditada entre sus dos lecturas (secciones 2.6 y 2.7).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65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2017–2026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56</w:t>
            </w:r>
          </w:p>
        </w:tc>
        <w:tc>
          <w:tcPr>
            <w:tcW w:type="dxa" w:w="3009"/>
          </w:tcPr>
          <w:p>
            <w:r/>
            <w:r>
              <w:rPr>
                <w:rFonts w:ascii="Times New Roman" w:hAnsi="Times New Roman"/>
                <w:b w:val="0"/>
                <w:i w:val="0"/>
                <w:sz w:val="18"/>
              </w:rPr>
              <w:t>86.2</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52.3</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16</w:t>
            </w:r>
          </w:p>
        </w:tc>
        <w:tc>
          <w:tcPr>
            <w:tcW w:type="dxa" w:w="3009"/>
          </w:tcPr>
          <w:p>
            <w:r/>
            <w:r>
              <w:rPr>
                <w:rFonts w:ascii="Times New Roman" w:hAnsi="Times New Roman"/>
                <w:b w:val="0"/>
                <w:i w:val="0"/>
                <w:sz w:val="18"/>
              </w:rPr>
              <w:t>24.6</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10.8</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Otros 9 países, un estudio cada uno</w:t>
            </w:r>
          </w:p>
        </w:tc>
        <w:tc>
          <w:tcPr>
            <w:tcW w:type="dxa" w:w="3009"/>
          </w:tcPr>
          <w:p>
            <w:r/>
            <w:r>
              <w:rPr>
                <w:rFonts w:ascii="Times New Roman" w:hAnsi="Times New Roman"/>
                <w:b w:val="0"/>
                <w:i w:val="0"/>
                <w:sz w:val="18"/>
              </w:rPr>
              <w:t>9</w:t>
            </w:r>
          </w:p>
        </w:tc>
        <w:tc>
          <w:tcPr>
            <w:tcW w:type="dxa" w:w="3009"/>
          </w:tcPr>
          <w:p>
            <w:r/>
            <w:r>
              <w:rPr>
                <w:rFonts w:ascii="Times New Roman" w:hAnsi="Times New Roman"/>
                <w:b w:val="0"/>
                <w:i w:val="0"/>
                <w:sz w:val="18"/>
              </w:rPr>
              <w:t>13.8</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41</w:t>
            </w:r>
          </w:p>
        </w:tc>
        <w:tc>
          <w:tcPr>
            <w:tcW w:type="dxa" w:w="3009"/>
          </w:tcPr>
          <w:p>
            <w:r/>
            <w:r>
              <w:rPr>
                <w:rFonts w:ascii="Times New Roman" w:hAnsi="Times New Roman"/>
                <w:b w:val="0"/>
                <w:i w:val="0"/>
                <w:sz w:val="18"/>
              </w:rPr>
              <w:t>63.1</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No asignable en el resumen</w:t>
            </w:r>
          </w:p>
        </w:tc>
        <w:tc>
          <w:tcPr>
            <w:tcW w:type="dxa" w:w="1805"/>
          </w:tcPr>
          <w:p>
            <w:r/>
            <w:r>
              <w:rPr>
                <w:rFonts w:ascii="Times New Roman" w:hAnsi="Times New Roman"/>
                <w:b/>
                <w:i w:val="0"/>
                <w:sz w:val="18"/>
              </w:rPr>
              <w:t>Declarado en el texto completo</w:t>
            </w:r>
          </w:p>
        </w:tc>
        <w:tc>
          <w:tcPr>
            <w:tcW w:type="dxa" w:w="1805"/>
          </w:tcPr>
          <w:p>
            <w:r/>
            <w:r>
              <w:rPr>
                <w:rFonts w:ascii="Times New Roman" w:hAnsi="Times New Roman"/>
                <w:b/>
                <w:i w:val="0"/>
                <w:sz w:val="18"/>
              </w:rPr>
              <w:t>Declarado pero no clasificable</w:t>
            </w:r>
          </w:p>
        </w:tc>
        <w:tc>
          <w:tcPr>
            <w:tcW w:type="dxa" w:w="1805"/>
          </w:tcPr>
          <w:p>
            <w:r/>
            <w:r>
              <w:rPr>
                <w:rFonts w:ascii="Times New Roman" w:hAnsi="Times New Roman"/>
                <w:b/>
                <w:i w:val="0"/>
                <w:sz w:val="18"/>
              </w:rPr>
              <w:t>No declarado en el texto completo</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33 (50.8 %)</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15</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17 (26.2 %)</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5</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32 (49.2 %)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36 (55.4 %)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63 (96.9 %)</w:t>
            </w:r>
          </w:p>
        </w:tc>
        <w:tc>
          <w:tcPr>
            <w:tcW w:type="dxa" w:w="1805"/>
          </w:tcPr>
          <w:p>
            <w:r/>
            <w:r>
              <w:rPr>
                <w:rFonts w:ascii="Times New Roman" w:hAnsi="Times New Roman"/>
                <w:b w:val="0"/>
                <w:i w:val="0"/>
                <w:sz w:val="18"/>
              </w:rPr>
              <w:t>63</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0</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Lo que el criterio del texto completo deja fuera: estudios incluidos frente a excluidos por no disponer del artículo.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Incluidos (texto completo leído)</w:t>
            </w:r>
          </w:p>
        </w:tc>
        <w:tc>
          <w:tcPr>
            <w:tcW w:type="dxa" w:w="3009"/>
          </w:tcPr>
          <w:p>
            <w:r/>
            <w:r>
              <w:rPr>
                <w:rFonts w:ascii="Times New Roman" w:hAnsi="Times New Roman"/>
                <w:b/>
                <w:i w:val="0"/>
                <w:sz w:val="18"/>
              </w:rPr>
              <w:t>Excluidos por no tener el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65</w:t>
            </w:r>
          </w:p>
        </w:tc>
        <w:tc>
          <w:tcPr>
            <w:tcW w:type="dxa" w:w="3009"/>
          </w:tcPr>
          <w:p>
            <w:r/>
            <w:r>
              <w:rPr>
                <w:rFonts w:ascii="Times New Roman" w:hAnsi="Times New Roman"/>
                <w:b w:val="0"/>
                <w:i w:val="0"/>
                <w:sz w:val="18"/>
              </w:rPr>
              <w:t>25</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7</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3.1</w:t>
            </w:r>
          </w:p>
        </w:tc>
        <w:tc>
          <w:tcPr>
            <w:tcW w:type="dxa" w:w="3009"/>
          </w:tcPr>
          <w:p>
            <w:r/>
            <w:r>
              <w:rPr>
                <w:rFonts w:ascii="Times New Roman" w:hAnsi="Times New Roman"/>
                <w:b w:val="0"/>
                <w:i w:val="0"/>
                <w:sz w:val="18"/>
              </w:rPr>
              <w:t>28.0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5</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348</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NOORG</w:t>
            </w:r>
          </w:p>
        </w:tc>
        <w:tc>
          <w:tcPr>
            <w:tcW w:type="dxa" w:w="1805"/>
          </w:tcPr>
          <w:p>
            <w:r/>
            <w:r>
              <w:rPr>
                <w:rFonts w:ascii="Times New Roman" w:hAnsi="Times New Roman"/>
                <w:b w:val="0"/>
                <w:i w:val="0"/>
                <w:sz w:val="18"/>
              </w:rPr>
              <w:t>La ficha de registro no declara ningun organismo: el criterio de P. aeruginosa no se puede verificar ni a favor ni en contra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NOPDF</w:t>
            </w:r>
          </w:p>
        </w:tc>
        <w:tc>
          <w:tcPr>
            <w:tcW w:type="dxa" w:w="1805"/>
          </w:tcPr>
          <w:p>
            <w:r/>
            <w:r>
              <w:rPr>
                <w:rFonts w:ascii="Times New Roman" w:hAnsi="Times New Roman"/>
                <w:b w:val="0"/>
                <w:i w:val="0"/>
                <w:sz w:val="18"/>
              </w:rPr>
              <w:t>Sin PDF del articulo completo con acceso: el texto no se obtuvo, o el estudio solo existe como resumen de congreso o ficha de registro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73 brazos).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
              <w:rPr>
                <w:rFonts w:ascii="Times New Roman" w:hAnsi="Times New Roman"/>
                <w:b/>
                <w:i w:val="0"/>
                <w:sz w:val="18"/>
              </w:rPr>
              <w:t>Desenlace</w:t>
            </w:r>
          </w:p>
        </w:tc>
        <w:tc>
          <w:tcPr>
            <w:tcW w:type="dxa" w:w="2256"/>
          </w:tcPr>
          <w:p>
            <w:r/>
            <w:r>
              <w:rPr>
                <w:rFonts w:ascii="Times New Roman" w:hAnsi="Times New Roman"/>
                <w:b/>
                <w:i w:val="0"/>
                <w:sz w:val="18"/>
              </w:rPr>
              <w:t>Con numerador y denominador</w:t>
            </w:r>
          </w:p>
        </w:tc>
        <w:tc>
          <w:tcPr>
            <w:tcW w:type="dxa" w:w="2256"/>
          </w:tcPr>
          <w:p>
            <w:r/>
            <w:r>
              <w:rPr>
                <w:rFonts w:ascii="Times New Roman" w:hAnsi="Times New Roman"/>
                <w:b/>
                <w:i w:val="0"/>
                <w:sz w:val="18"/>
              </w:rPr>
              <w:t>% de los 73 brazos</w:t>
            </w:r>
          </w:p>
        </w:tc>
        <w:tc>
          <w:tcPr>
            <w:tcW w:type="dxa" w:w="2256"/>
          </w:tcPr>
          <w:p>
            <w:r/>
            <w:r>
              <w:rPr>
                <w:rFonts w:ascii="Times New Roman" w:hAnsi="Times New Roman"/>
                <w:b/>
                <w:i w:val="0"/>
                <w:sz w:val="18"/>
              </w:rPr>
              <w:t>% con doble lectura</w:t>
            </w:r>
          </w:p>
        </w:tc>
      </w:tr>
      <w:tr>
        <w:tc>
          <w:tcPr>
            <w:tcW w:type="dxa" w:w="2256"/>
          </w:tcPr>
          <w:p>
            <w:r/>
            <w:r>
              <w:rPr>
                <w:rFonts w:ascii="Times New Roman" w:hAnsi="Times New Roman"/>
                <w:b w:val="0"/>
                <w:i w:val="0"/>
                <w:sz w:val="18"/>
              </w:rPr>
              <w:t>Éxito clínico</w:t>
            </w:r>
          </w:p>
        </w:tc>
        <w:tc>
          <w:tcPr>
            <w:tcW w:type="dxa" w:w="2256"/>
          </w:tcPr>
          <w:p>
            <w:r/>
            <w:r>
              <w:rPr>
                <w:rFonts w:ascii="Times New Roman" w:hAnsi="Times New Roman"/>
                <w:b w:val="0"/>
                <w:i w:val="0"/>
                <w:sz w:val="18"/>
              </w:rPr>
              <w:t>64</w:t>
            </w:r>
          </w:p>
        </w:tc>
        <w:tc>
          <w:tcPr>
            <w:tcW w:type="dxa" w:w="2256"/>
          </w:tcPr>
          <w:p>
            <w:r/>
            <w:r>
              <w:rPr>
                <w:rFonts w:ascii="Times New Roman" w:hAnsi="Times New Roman"/>
                <w:b w:val="0"/>
                <w:i w:val="0"/>
                <w:sz w:val="18"/>
              </w:rPr>
              <w:t>87.7</w:t>
            </w:r>
          </w:p>
        </w:tc>
        <w:tc>
          <w:tcPr>
            <w:tcW w:type="dxa" w:w="2256"/>
          </w:tcPr>
          <w:p>
            <w:r/>
            <w:r>
              <w:rPr>
                <w:rFonts w:ascii="Times New Roman" w:hAnsi="Times New Roman"/>
                <w:b w:val="0"/>
                <w:i w:val="0"/>
                <w:sz w:val="18"/>
              </w:rPr>
              <w:t>98.4</w:t>
            </w:r>
          </w:p>
        </w:tc>
      </w:tr>
      <w:tr>
        <w:tc>
          <w:tcPr>
            <w:tcW w:type="dxa" w:w="2256"/>
          </w:tcPr>
          <w:p>
            <w:r/>
            <w:r>
              <w:rPr>
                <w:rFonts w:ascii="Times New Roman" w:hAnsi="Times New Roman"/>
                <w:b w:val="0"/>
                <w:i w:val="0"/>
                <w:sz w:val="18"/>
              </w:rPr>
              <w:t>Erradicación microbiológica</w:t>
            </w:r>
          </w:p>
        </w:tc>
        <w:tc>
          <w:tcPr>
            <w:tcW w:type="dxa" w:w="2256"/>
          </w:tcPr>
          <w:p>
            <w:r/>
            <w:r>
              <w:rPr>
                <w:rFonts w:ascii="Times New Roman" w:hAnsi="Times New Roman"/>
                <w:b w:val="0"/>
                <w:i w:val="0"/>
                <w:sz w:val="18"/>
              </w:rPr>
              <w:t>53</w:t>
            </w:r>
          </w:p>
        </w:tc>
        <w:tc>
          <w:tcPr>
            <w:tcW w:type="dxa" w:w="2256"/>
          </w:tcPr>
          <w:p>
            <w:r/>
            <w:r>
              <w:rPr>
                <w:rFonts w:ascii="Times New Roman" w:hAnsi="Times New Roman"/>
                <w:b w:val="0"/>
                <w:i w:val="0"/>
                <w:sz w:val="18"/>
              </w:rPr>
              <w:t>72.6</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Mortalidad</w:t>
            </w:r>
          </w:p>
        </w:tc>
        <w:tc>
          <w:tcPr>
            <w:tcW w:type="dxa" w:w="2256"/>
          </w:tcPr>
          <w:p>
            <w:r/>
            <w:r>
              <w:rPr>
                <w:rFonts w:ascii="Times New Roman" w:hAnsi="Times New Roman"/>
                <w:b w:val="0"/>
                <w:i w:val="0"/>
                <w:sz w:val="18"/>
              </w:rPr>
              <w:t>66</w:t>
            </w:r>
          </w:p>
        </w:tc>
        <w:tc>
          <w:tcPr>
            <w:tcW w:type="dxa" w:w="2256"/>
          </w:tcPr>
          <w:p>
            <w:r/>
            <w:r>
              <w:rPr>
                <w:rFonts w:ascii="Times New Roman" w:hAnsi="Times New Roman"/>
                <w:b w:val="0"/>
                <w:i w:val="0"/>
                <w:sz w:val="18"/>
              </w:rPr>
              <w:t>90.4</w:t>
            </w:r>
          </w:p>
        </w:tc>
        <w:tc>
          <w:tcPr>
            <w:tcW w:type="dxa" w:w="2256"/>
          </w:tcPr>
          <w:p>
            <w:r/>
            <w:r>
              <w:rPr>
                <w:rFonts w:ascii="Times New Roman" w:hAnsi="Times New Roman"/>
                <w:b w:val="0"/>
                <w:i w:val="0"/>
                <w:sz w:val="18"/>
              </w:rPr>
              <w:t>98.5</w:t>
            </w:r>
          </w:p>
        </w:tc>
      </w:tr>
      <w:tr>
        <w:tc>
          <w:tcPr>
            <w:tcW w:type="dxa" w:w="2256"/>
          </w:tcPr>
          <w:p>
            <w:r/>
            <w:r>
              <w:rPr>
                <w:rFonts w:ascii="Times New Roman" w:hAnsi="Times New Roman"/>
                <w:b w:val="0"/>
                <w:i w:val="0"/>
                <w:sz w:val="18"/>
              </w:rPr>
              <w:t>Eventos adversos</w:t>
            </w:r>
          </w:p>
        </w:tc>
        <w:tc>
          <w:tcPr>
            <w:tcW w:type="dxa" w:w="2256"/>
          </w:tcPr>
          <w:p>
            <w:r/>
            <w:r>
              <w:rPr>
                <w:rFonts w:ascii="Times New Roman" w:hAnsi="Times New Roman"/>
                <w:b w:val="0"/>
                <w:i w:val="0"/>
                <w:sz w:val="18"/>
              </w:rPr>
              <w:t>65</w:t>
            </w:r>
          </w:p>
        </w:tc>
        <w:tc>
          <w:tcPr>
            <w:tcW w:type="dxa" w:w="2256"/>
          </w:tcPr>
          <w:p>
            <w:r/>
            <w:r>
              <w:rPr>
                <w:rFonts w:ascii="Times New Roman" w:hAnsi="Times New Roman"/>
                <w:b w:val="0"/>
                <w:i w:val="0"/>
                <w:sz w:val="18"/>
              </w:rPr>
              <w:t>89.0</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Emergencia de resistencia al fago</w:t>
            </w:r>
          </w:p>
        </w:tc>
        <w:tc>
          <w:tcPr>
            <w:tcW w:type="dxa" w:w="2256"/>
          </w:tcPr>
          <w:p>
            <w:r/>
            <w:r>
              <w:rPr>
                <w:rFonts w:ascii="Times New Roman" w:hAnsi="Times New Roman"/>
                <w:b w:val="0"/>
                <w:i w:val="0"/>
                <w:sz w:val="18"/>
              </w:rPr>
              <w:t>26</w:t>
            </w:r>
          </w:p>
        </w:tc>
        <w:tc>
          <w:tcPr>
            <w:tcW w:type="dxa" w:w="2256"/>
          </w:tcPr>
          <w:p>
            <w:r/>
            <w:r>
              <w:rPr>
                <w:rFonts w:ascii="Times New Roman" w:hAnsi="Times New Roman"/>
                <w:b w:val="0"/>
                <w:i w:val="0"/>
                <w:sz w:val="18"/>
              </w:rPr>
              <w:t>35.6</w:t>
            </w:r>
          </w:p>
        </w:tc>
        <w:tc>
          <w:tcPr>
            <w:tcW w:type="dxa" w:w="2256"/>
          </w:tcPr>
          <w:p>
            <w:r/>
            <w:r>
              <w:rPr>
                <w:rFonts w:ascii="Times New Roman" w:hAnsi="Times New Roman"/>
                <w:b w:val="0"/>
                <w:i w:val="0"/>
                <w:sz w:val="18"/>
              </w:rPr>
              <w:t>57.7</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73 brazos).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Requisito acumulado</w:t>
            </w:r>
          </w:p>
        </w:tc>
        <w:tc>
          <w:tcPr>
            <w:tcW w:type="dxa" w:w="3009"/>
          </w:tcPr>
          <w:p>
            <w:r/>
            <w:r>
              <w:rPr>
                <w:rFonts w:ascii="Times New Roman" w:hAnsi="Times New Roman"/>
                <w:b/>
                <w:i w:val="0"/>
                <w:sz w:val="18"/>
              </w:rPr>
              <w:t>Efecto comparativo: brazos que quedan</w:t>
            </w:r>
          </w:p>
        </w:tc>
        <w:tc>
          <w:tcPr>
            <w:tcW w:type="dxa" w:w="3009"/>
          </w:tcPr>
          <w:p>
            <w:r/>
            <w:r>
              <w:rPr>
                <w:rFonts w:ascii="Times New Roman" w:hAnsi="Times New Roman"/>
                <w:b/>
                <w:i w:val="0"/>
                <w:sz w:val="18"/>
              </w:rPr>
              <w:t>Proporción descriptiva: brazos que quedan</w:t>
            </w:r>
          </w:p>
        </w:tc>
      </w:tr>
      <w:tr>
        <w:tc>
          <w:tcPr>
            <w:tcW w:type="dxa" w:w="3009"/>
          </w:tcPr>
          <w:p>
            <w:r/>
            <w:r>
              <w:rPr>
                <w:rFonts w:ascii="Times New Roman" w:hAnsi="Times New Roman"/>
                <w:b w:val="0"/>
                <w:i w:val="0"/>
                <w:sz w:val="18"/>
              </w:rPr>
              <w:t>Brazos extraídos</w:t>
            </w:r>
          </w:p>
        </w:tc>
        <w:tc>
          <w:tcPr>
            <w:tcW w:type="dxa" w:w="3009"/>
          </w:tcPr>
          <w:p>
            <w:r/>
            <w:r>
              <w:rPr>
                <w:rFonts w:ascii="Times New Roman" w:hAnsi="Times New Roman"/>
                <w:b w:val="0"/>
                <w:i w:val="0"/>
                <w:sz w:val="18"/>
              </w:rPr>
              <w:t>73</w:t>
            </w:r>
          </w:p>
        </w:tc>
        <w:tc>
          <w:tcPr>
            <w:tcW w:type="dxa" w:w="3009"/>
          </w:tcPr>
          <w:p>
            <w:r/>
            <w:r>
              <w:rPr>
                <w:rFonts w:ascii="Times New Roman" w:hAnsi="Times New Roman"/>
                <w:b w:val="0"/>
                <w:i w:val="0"/>
                <w:sz w:val="18"/>
              </w:rPr>
              <w:t>73 (65 estudios)</w:t>
            </w:r>
          </w:p>
        </w:tc>
      </w:tr>
      <w:tr>
        <w:tc>
          <w:tcPr>
            <w:tcW w:type="dxa" w:w="3009"/>
          </w:tcPr>
          <w:p>
            <w:r/>
            <w:r>
              <w:rPr>
                <w:rFonts w:ascii="Times New Roman" w:hAnsi="Times New Roman"/>
                <w:b w:val="0"/>
                <w:i w:val="0"/>
                <w:sz w:val="18"/>
              </w:rPr>
              <w:t>Diseño comparativo</w:t>
            </w:r>
          </w:p>
        </w:tc>
        <w:tc>
          <w:tcPr>
            <w:tcW w:type="dxa" w:w="3009"/>
          </w:tcPr>
          <w:p>
            <w:r/>
            <w:r>
              <w:rPr>
                <w:rFonts w:ascii="Times New Roman" w:hAnsi="Times New Roman"/>
                <w:b w:val="0"/>
                <w:i w:val="0"/>
                <w:sz w:val="18"/>
              </w:rPr>
              <w:t>12</w:t>
            </w:r>
          </w:p>
        </w:tc>
        <w:tc>
          <w:tcPr>
            <w:tcW w:type="dxa" w:w="3009"/>
          </w:tcPr>
          <w:p>
            <w:r/>
            <w:r>
              <w:rPr>
                <w:rFonts w:ascii="Times New Roman" w:hAnsi="Times New Roman"/>
                <w:b w:val="0"/>
                <w:i w:val="0"/>
                <w:sz w:val="18"/>
              </w:rPr>
              <w:t>no se aplica</w:t>
            </w:r>
          </w:p>
        </w:tc>
      </w:tr>
      <w:tr>
        <w:tc>
          <w:tcPr>
            <w:tcW w:type="dxa" w:w="3009"/>
          </w:tcPr>
          <w:p>
            <w:r/>
            <w:r>
              <w:rPr>
                <w:rFonts w:ascii="Times New Roman" w:hAnsi="Times New Roman"/>
                <w:b w:val="0"/>
                <w:i w:val="0"/>
                <w:sz w:val="18"/>
              </w:rPr>
              <w:t>Numerador y denominador coherentes</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64 (60 estudios)</w:t>
            </w:r>
          </w:p>
        </w:tc>
      </w:tr>
      <w:tr>
        <w:tc>
          <w:tcPr>
            <w:tcW w:type="dxa" w:w="3009"/>
          </w:tcPr>
          <w:p>
            <w:r/>
            <w:r>
              <w:rPr>
                <w:rFonts w:ascii="Times New Roman" w:hAnsi="Times New Roman"/>
                <w:b w:val="0"/>
                <w:i w:val="0"/>
                <w:sz w:val="18"/>
              </w:rPr>
              <w:t>Definición operativa del éxito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23 (20 estudios)</w:t>
            </w:r>
          </w:p>
        </w:tc>
      </w:tr>
      <w:tr>
        <w:tc>
          <w:tcPr>
            <w:tcW w:type="dxa" w:w="3009"/>
          </w:tcPr>
          <w:p>
            <w:r/>
            <w:r>
              <w:rPr>
                <w:rFonts w:ascii="Times New Roman" w:hAnsi="Times New Roman"/>
                <w:b w:val="0"/>
                <w:i w:val="0"/>
                <w:sz w:val="18"/>
              </w:rPr>
              <w:t>Desenlace atribuible a P. aeruginosa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Administración terapéutica, no profiláctica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Reporta una proporción, no un tiempo</w:t>
            </w:r>
          </w:p>
        </w:tc>
        <w:tc>
          <w:tcPr>
            <w:tcW w:type="dxa" w:w="3009"/>
          </w:tcPr>
          <w:p>
            <w:r/>
            <w:r>
              <w:rPr>
                <w:rFonts w:ascii="Times New Roman" w:hAnsi="Times New Roman"/>
                <w:b w:val="0"/>
                <w:i w:val="0"/>
                <w:sz w:val="18"/>
              </w:rPr>
              <w:t>0</w:t>
            </w:r>
          </w:p>
        </w:tc>
        <w:tc>
          <w:tcPr>
            <w:tcW w:type="dxa" w:w="3009"/>
          </w:tcPr>
          <w:p>
            <w:r/>
            <w:r>
              <w:rPr>
                <w:rFonts w:ascii="Times New Roman" w:hAnsi="Times New Roman"/>
                <w:b w:val="0"/>
                <w:i w:val="0"/>
                <w:sz w:val="18"/>
              </w:rPr>
              <w:t>19 (16 estudios)</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081277"/>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081277"/>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rFonts w:ascii="Times New Roman" w:hAnsi="Times New Roman"/>
          <w:b w:val="0"/>
          <w:i/>
          <w:sz w:val="22"/>
        </w:rPr>
        <w:t>Fuente.</w:t>
      </w:r>
      <w:r>
        <w:rPr>
          <w:rFonts w:ascii="Times New Roman" w:hAnsi="Times New Roman"/>
          <w:b w:val="0"/>
          <w:i w:val="0"/>
          <w:sz w:val="22"/>
        </w:rPr>
        <w:t xml:space="preserve"> Canal de cribado del proyecto; búsquedas ejecutadas entre el 3 y el 10 de agosto de 2026.</w:t>
      </w:r>
    </w:p>
    <w:p>
      <w:pPr>
        <w:spacing w:before="240" w:after="100" w:line="240" w:lineRule="auto"/>
      </w:pPr>
      <w:r>
        <w:rPr>
          <w:rFonts w:ascii="Times New Roman" w:hAnsi="Times New Roman"/>
          <w:b w:val="0"/>
          <w:i/>
          <w:sz w:val="18"/>
        </w:rPr>
        <w:t>Figura 2. Composición del cuerpo de evidencia recuperable (n = 65 estudios).</w:t>
      </w:r>
    </w:p>
    <w:p>
      <w:pPr>
        <w:jc w:val="center"/>
      </w:pPr>
      <w:r>
        <w:drawing>
          <wp:inline xmlns:a="http://schemas.openxmlformats.org/drawingml/2006/main" xmlns:pic="http://schemas.openxmlformats.org/drawingml/2006/picture">
            <wp:extent cx="5120640" cy="2347675"/>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7675"/>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65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cuándo.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de los 65 estudios con publicación recuperable,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65 estudios con su situación y sus informes agrupados, y de los 118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antes de resolver los desacuerdos; su independencia no está acreditada.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S16.</w:t>
      </w:r>
      <w:r>
        <w:rPr>
          <w:rFonts w:ascii="Times New Roman" w:hAnsi="Times New Roman"/>
          <w:b w:val="0"/>
          <w:i w:val="0"/>
          <w:sz w:val="22"/>
        </w:rPr>
        <w:t xml:space="preserve"> Los 118 estudios que el cribado admitió y el texto completo desmintió, con su código de motivo y la frase del artículo que lo sostiene.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S17.</w:t>
      </w:r>
      <w:r>
        <w:rPr>
          <w:rFonts w:ascii="Times New Roman" w:hAnsi="Times New Roman"/>
          <w:b w:val="0"/>
          <w:i w:val="0"/>
          <w:sz w:val="22"/>
        </w:rPr>
        <w:t xml:space="preserve"> La Tabla 6 desglosada: los siete requisitos, brazo a brazo sobre los 73 brazos, con el primero que falla y por qué.</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w:t>
      </w:r>
      <w:r>
        <w:rPr>
          <w:rFonts w:ascii="Times New Roman" w:hAnsi="Times New Roman"/>
          <w:b w:val="0"/>
          <w:i w:val="0"/>
          <w:sz w:val="22"/>
        </w:rPr>
        <w:t xml:space="preserve"> Los 68 juicios de riesgo de sesgo, uno por fila, con la frase firmada en que se apoya cada uno.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S18b.</w:t>
      </w:r>
      <w:r>
        <w:rPr>
          <w:rFonts w:ascii="Times New Roman" w:hAnsi="Times New Roman"/>
          <w:b w:val="0"/>
          <w:i w:val="0"/>
          <w:sz w:val="22"/>
        </w:rPr>
        <w:t xml:space="preserve"> Las frases del artículo cosechadas por tema, que acompañan pero no sustituyen a la firmada.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S19.</w:t>
      </w:r>
      <w:r>
        <w:rPr>
          <w:rFonts w:ascii="Times New Roman" w:hAnsi="Times New Roman"/>
          <w:b w:val="0"/>
          <w:i w:val="0"/>
          <w:sz w:val="22"/>
        </w:rPr>
        <w:t xml:space="preserve"> Qué modelo emitió las decisiones de cribado, cuándo, sobre qué ficheros, qué verificaron los autores y qué NO quedó registrado, marcado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S20.</w:t>
      </w:r>
      <w:r>
        <w:rPr>
          <w:rFonts w:ascii="Times New Roman" w:hAnsi="Times New Roman"/>
          <w:b w:val="0"/>
          <w:i w:val="0"/>
          <w:sz w:val="22"/>
        </w:rPr>
        <w:t xml:space="preserve"> De qué informe salió cada uno de los 73 brazos, y con qué prueba se estableció el vínculo.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S21.</w:t>
      </w:r>
      <w:r>
        <w:rPr>
          <w:rFonts w:ascii="Times New Roman" w:hAnsi="Times New Roman"/>
          <w:b w:val="0"/>
          <w:i w:val="0"/>
          <w:sz w:val="22"/>
        </w:rPr>
        <w:t xml:space="preserve"> Los 30 pares de estudios que podían describir a los mismos pacientes, con la señal que los marcó, el veredicto tras leer los dos artículos, los pacientes compartidos y la frase firmada en que se apoya.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S22.</w:t>
      </w:r>
      <w:r>
        <w:rPr>
          <w:rFonts w:ascii="Times New Roman" w:hAnsi="Times New Roman"/>
          <w:b w:val="0"/>
          <w:i w:val="0"/>
          <w:sz w:val="22"/>
        </w:rPr>
        <w:t xml:space="preserve"> Para cada variable de estratificación, cuántos estudios la declaran en el texto completo, cuántos la mencionan sin poder clasificarla, cuántos callan y de cuántos no hay texto.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S23.</w:t>
      </w:r>
      <w:r>
        <w:rPr>
          <w:rFonts w:ascii="Times New Roman" w:hAnsi="Times New Roman"/>
          <w:b w:val="0"/>
          <w:i w:val="0"/>
          <w:sz w:val="22"/>
        </w:rPr>
        <w:t xml:space="preserve"> La clase de resistencia de los 70 estudios que tenían texto completo, comprobada contra el antibiograma del artículo: la conclusión firmada, la frase o la tabla en que se apoya, cómo se codificó y qué cambió en la extracción.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S24.</w:t>
      </w:r>
      <w:r>
        <w:rPr>
          <w:rFonts w:ascii="Times New Roman" w:hAnsi="Times New Roman"/>
          <w:b w:val="0"/>
          <w:i w:val="0"/>
          <w:sz w:val="22"/>
        </w:rPr>
        <w:t xml:space="preserve"> Los 14 estudios con diseño comparativo, reextraídos: comparador, asignación, tiempo cero, tiempo de evaluación, cointervenciones, pérdidas, estimando y si hay un contraste para </w:t>
      </w:r>
      <w:r>
        <w:rPr>
          <w:rFonts w:ascii="Times New Roman" w:hAnsi="Times New Roman"/>
          <w:b w:val="0"/>
          <w:i/>
          <w:sz w:val="22"/>
        </w:rPr>
        <w:t>P. aeruginosa</w:t>
      </w:r>
      <w:r>
        <w:rPr>
          <w:rFonts w:ascii="Times New Roman" w:hAnsi="Times New Roman"/>
          <w:b w:val="0"/>
          <w:i w:val="0"/>
          <w:sz w:val="22"/>
        </w:rPr>
        <w:t>.</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