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con artículo completo (criterio añadido tras la extracción). Extracción por duplicado, sin independencia acreditada; 539 de 541 desacuerdos adjudicados. El riesgo de sesgo se evaluó por consenso, por dominios, en los 9 comparativos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118 se excluyeron, 63 por no disponer del artículo completo. Quedan 65 estudios, todos leídos a texto completo; exigirlo dejó fuera 7 de 9 diseños comparativos. De ellos, el 52,3 % son reportes de caso único y el 3,1 % tiene diseño comparativo según el resumen; la categoría de resistencia no puede asignarse desde el resumen en el 70,8 %. En 43 de 73 brazos extraídos (58,9 %) no consta una definición operativa de éxito clínico. Ningún brazo reúne a la vez los requisitos aritméticos, los de elegibilidad y la métrica de una proporción agrupada.</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256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with its full article (a criterion added after extraction). Extraction was in duplicate, without established independence; 539 of 541 disagreements adjudicated. Risk of bias was assessed by consensus, by domain, in the 9 comparative studies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118 were excluded, 63 for lacking the full article. 65 studies remain, all read in full text; requiring it left out 7 of 9 comparative designs. Of these, 52.3 % are single case reports and 3.1 % have a comparative design by abstract; resistance category cannot be assigned from the abstract in 70.8 %. In 43 of the 73 extracted arms (58.9 %) no operational definition of clinical success is on record. No arm meets all seven requirements of a pooled proportion; of the 19 meeting the other six, 14 have a single-patient denominator.</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con artículo completo (criterio añadido tras la extracción). Extracción por duplicado, sin independencia acreditada; 539 de 541 desacuerdos adjudicados. El riesgo de sesgo se evaluó por consenso, por dominios, en los 9 comparativos (RoB 2, ROBINS-I); no se aplicó GRADE. De 23 057 registros quedaron 17 129 informes únicos; 233 informes formaron 183 estudios evaluados para elegibilidad, de los que 118 se excluyeron, 63 por no disponer del artículo completo. Quedan 65 estudios, todos leídos a texto completo; exigirlo dejó fuera 7 de 9 diseños comparativos. De ellos, el 52,3 % son reportes de caso único y el 3,1 % tiene diseño comparativo según el resumen; la categoría de resistencia no puede asignarse desde el resumen en el 70,8 %. En 43 de 73 brazos extraídos (58,9 %) no consta una definición operativa de éxito clínico. Ningún brazo reúne a la vez los requisitos aritméticos, los de elegibilidad y la métrica de una proporción agrupada.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247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with its full article (a criterion added after extraction). Data were extracted in duplicate, without established independence; 539 of 541 disagreements adjudicated. Risk of bias was assessed by consensus, by domain, in the 9 comparative studies (RoB 2, ROBINS-I); GRADE was not applied. From 23 057 records, 17 129 unique reports remained; 233 reports formed 183 studies assessed for eligibility, of which 118 were excluded, 63 for lacking the full article. 65 studies remain, all read in full text; requiring it left out 7 of 9 comparative designs. Of these, 52.3 % are single case reports and 3.1 % have a comparative design by abstract; resistance category cannot be assigned from the abstract in 70.8 %. In 43 of the 73 extracted arms (58.9 %) no operational definition of clinical success is on record. No arm meets all seven requirements of a pooled proportion; of the 19 meeting the other six, 14 have a single-patient denominator.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