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S1. Lista de comprobación PRISMA 2020</w:t>
      </w:r>
    </w:p>
    <w:p>
      <w:r>
        <w:rPr>
          <w:i/>
          <w:sz w:val="19"/>
        </w:rPr>
        <w:t>Fagoterapia en Pseudomonas aeruginosa multirresistente. Estado a 12 de octubre de 2026.</w:t>
      </w:r>
    </w:p>
    <w:p>
      <w:pPr>
        <w:pStyle w:val="Heading2"/>
      </w:pPr>
      <w:r>
        <w:t>Cómo leer la columna «dónde mirar»</w:t>
      </w:r>
    </w:p>
    <w:p>
      <w:r>
        <w:t>Las remisiones §1 a §4.4 corresponden al informe extendido. En el manuscrito enviado a la revista, cuyas secciones no van numeradas, equivalen a:</w:t>
      </w:r>
    </w:p>
    <w:p>
      <w:pPr>
        <w:pStyle w:val="ListBullet"/>
      </w:pPr>
      <w:r>
        <w:t>§1  →  INTRODUCCIÓN</w:t>
      </w:r>
    </w:p>
    <w:p>
      <w:pPr>
        <w:pStyle w:val="ListBullet"/>
      </w:pPr>
      <w:r>
        <w:t>§2.1  →  METODOLOGÍA › Protocolo y reporte</w:t>
      </w:r>
    </w:p>
    <w:p>
      <w:pPr>
        <w:pStyle w:val="ListBullet"/>
      </w:pPr>
      <w:r>
        <w:t>§2.2  →  METODOLOGÍA › Criterios de elegibilidad (Tabla 1)</w:t>
      </w:r>
    </w:p>
    <w:p>
      <w:pPr>
        <w:pStyle w:val="ListBullet"/>
      </w:pPr>
      <w:r>
        <w:t>§2.3  →  METODOLOGÍA › Fuentes de información y estrategia de búsqueda</w:t>
      </w:r>
    </w:p>
    <w:p>
      <w:pPr>
        <w:pStyle w:val="ListBullet"/>
      </w:pPr>
      <w:r>
        <w:t>§2.4  →  METODOLOGÍA › Selección de los estudios</w:t>
      </w:r>
    </w:p>
    <w:p>
      <w:pPr>
        <w:pStyle w:val="ListBullet"/>
      </w:pPr>
      <w:r>
        <w:t>§2.6  →  METODOLOGÍA › Extracción de datos</w:t>
      </w:r>
    </w:p>
    <w:p>
      <w:pPr>
        <w:pStyle w:val="ListBullet"/>
      </w:pPr>
      <w:r>
        <w:t>§2.7  →  METODOLOGÍA › Evaluación del riesgo de sesgo</w:t>
      </w:r>
    </w:p>
    <w:p>
      <w:pPr>
        <w:pStyle w:val="ListBullet"/>
      </w:pPr>
      <w:r>
        <w:t>§2.8  →  METODOLOGÍA › Síntesis</w:t>
      </w:r>
    </w:p>
    <w:p>
      <w:pPr>
        <w:pStyle w:val="ListBullet"/>
      </w:pPr>
      <w:r>
        <w:t>§2.9  →  METODOLOGÍA › Enmiendas al protocolo</w:t>
      </w:r>
    </w:p>
    <w:p>
      <w:pPr>
        <w:pStyle w:val="ListBullet"/>
      </w:pPr>
      <w:r>
        <w:t>§3.1 y §3.1.1  →  RESULTADOS › Selección de los estudios (Figura 1)</w:t>
      </w:r>
    </w:p>
    <w:p>
      <w:pPr>
        <w:pStyle w:val="ListBullet"/>
      </w:pPr>
      <w:r>
        <w:t>§3.3  →  RESULTADOS › Características del cuerpo de evidencia (Tabla 2)</w:t>
      </w:r>
    </w:p>
    <w:p>
      <w:pPr>
        <w:pStyle w:val="ListBullet"/>
      </w:pPr>
      <w:r>
        <w:t>§3.5  →  RESULTADOS › Reporte de los desenlaces (Tabla 4)</w:t>
      </w:r>
    </w:p>
    <w:p>
      <w:pPr>
        <w:pStyle w:val="ListBullet"/>
      </w:pPr>
      <w:r>
        <w:t>§3.6  →  RESULTADOS › Viabilidad de la síntesis cuantitativa (Tabla 6)</w:t>
      </w:r>
    </w:p>
    <w:p>
      <w:pPr>
        <w:pStyle w:val="ListBullet"/>
      </w:pPr>
      <w:r>
        <w:t>§4, §4.3 y §4.4  →  DISCUSIÓN Y CONCLUSIONES</w:t>
      </w:r>
    </w:p>
    <w:p>
      <w:r>
        <w:t>Las tablas también se renumeran entre los dos documentos: la Tabla 1 del manuscrito de la revista es la de criterios de elegibilidad, y la de características del corpus es allí la Tabla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Ítem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Qué exige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Dónde está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Título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Identifica el informe como revisión sistemática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Título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Resumen estructurado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Ver lista PRISMA for Abstracts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Resumen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Justificación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Base racional en el contexto de lo conocido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Objetivos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Pregunta explícita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§1, último párrafo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Criterios de elegibilidad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Y cómo se agruparon los estudios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§2.2, incluido el criterio de idioma (inglés o español), verificado informe por informe en S9 y sobre el texto completo en S10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Fuentes de información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Todas, con fecha de la última búsqueda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§2.3 y S2. No hay fecha de ejecución por fuente. Las ejecuciones documentadas son del 3 y el 4 de agosto de 2026, y la exportación de BVS se incorporó al corpus el 10 de agosto; la ejecución de Scopus cuya exportación entró al corpus no tiene fecha registrada (el fichero de su brazo B se terminó de escribir el 5 de agosto)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Estrategia de búsqueda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Literal, para cada base y registro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§2.3 y S2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Proceso de selección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Cuántos revisores, cómo trabajaron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§2.4; la etapa 1 aplica reglas deterministas, y las decisiones registro a registro de las etapas 2 y 3 las emitió un modelo de lenguaje (Claude Opus 5) como revisor único, sin duplicación. El vocabulario de motivos no se fijó antes de empezar: el 4 de agosto de 2026 (primer día de cribado de títulos) el modelo escribió los motivos en texto libre, y los códigos, cuya redacción procede de esos textos, se usaron desde el 5 de agosto de 2026; no consta que los autores los fijaran antes. Ese primer día se añadieron además, a mitad de lote, dos reglas que concretan los criterios: endolisinas aisladas fuera (intervención) e informes veterinarios fuera (población). D.V. fue el único revisor humano. Según declara D.V. (8 de octubre de 2026), examinó uno a uno los informes que superaron el cribado; ese examen no quedó registrado. Lo que el modelo excluyó no lo releyó ningún humano, salvo la muestra de 350 del recribado (S19). Declarado en §2.4 y como primera limitación en §4.4; el registro completo, con modelo y marca de tiempo por decisión, está en S3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Proceso de extracción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Cuántos revisores, herramientas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§2.6; extracción por duplicado (122 de 124 estudios), con la concordancia medida antes de resolver y 539 de 541 desacuerdos adjudicados; el registro anota a los dos revisores en 14 y a uno solo en 525, y 2 se cerraron por una regla mecánica sin firma conjunta. La independencia de las dos extracciones no está acreditada: la columna de texto libre que localiza cada dato coincide entre los dos cuadernos en 107 de 107 filas, erratas incluidas. S11 y S12 aportan el rastro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10a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Variables de desenlace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Lista y definiciones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§2.2 las lista; S4 no contiene definiciones de desenlace porque ningún resumen del corpus las declara. Las definiciones de los textos completos leídos se discuten en §3.5 y §3.6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10b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Otras variables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Lista y definiciones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S4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Riesgo de sesgo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Herramienta, cuántos revisores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9 de los 9 estudios con diseño comparativo adjudicado sobre el artículo (RoB 2 en los aleatorizados, ROBINS-I en los no aleatorizados y las cohortes), a nivel de dominio. Se declaró evaluación por consenso. Hubo dos cuadernos, uno a nombre de cada autor, sin independencia acreditada: compartían 7 418 caracteres de notas idénticas, y el registro del 5 de septiembre de 2026 concluye que un cuaderno salió del otro. El canal que escribió el modelo de lenguaje generó el cuaderno de consenso con los juicios coincidentes precargados y los discrepantes en blanco; lo firmaron los dos autores el 9 de septiembre de 2026, y los 11 desacuerdos se resolvieron hacia el cuaderno de D.V. La concordancia (49 de 60 juicios, kappa 0,74) no mide dos evaluaciones independientes. Los reportes y series de casos no se evalúan con instrumento formal, por decisión: §2.7 dice por qué. La limitación consta en §4.4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Medidas del efecto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Para cada desenlace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NO APLICA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Este informe no presenta estimaciones de efecto. §3.5 mide la completitud con que se reportan los desenlaces; §3.6 explica por qué no se agregan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13a-f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Métodos de síntesis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Incluida la decisión de no agrupar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§2.8 y §3.6, con la justificación de por qué no se agrupa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Sesgo de publicación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Métodos de evaluación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§4.3 documenta que 42 de los 128 estudios que llegaron al criterio del texto completo eran solo fichas de registro, sin publicación localizable; el criterio los saca del corpus, no del campo. No se aplicaron pruebas estadísticas por no haber síntesis cuantitativa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Certeza de la evidencia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GRADE u otro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NO APLICA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§2.7: GRADE califica la certeza de una estimación agrupada y este informe no presenta ninguna. §3.5 y la Tabla 6 muestran que, tras aplicar los criterios de elegibilidad de §2.2, NINGÚN brazo del corpus podría entrar en una proporción agrupada de éxito clínico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16a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Selección de estudios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Flujo con números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§3.1 y Figura 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16b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Excluidos en texto completo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Con motivos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§3.1.1 y S16: 118 estudios que el cribado había admitido se excluyeron en la fase de texto completo, cada uno con su código de motivo. 63 (NOPDF) y 4 (NOREC) se excluyeron porque no se consiguió o no se pudo leer el artículo, no porque se haya comprobado que incumplen los criterios, y no llevan cita; otros 4 llevan solo el motivo. Los 47 restantes llevan la frase del texto leído (artículo o ficha de registro) que sostiene la exclusión, salvo EST-205 (REV), decidido sobre la indexación de SciELO sin leer el texto. Las firmaron los dos autores salvo 2, que firmó D.V. solo (EST-118 y EST-205). El modelo leyó los textos completos y propuso, con su cita, las exclusiones que se apoyan en ellos. S3 recoge además los motivos de las etapas 2 y 3 tal como se escribieron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Características de los estudios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De cada uno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Tabla 1, y listado completo en S5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Riesgo de sesgo por estudio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Tabla de dominios con los 68 juicios, estudio por estudio, en §3.7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Resultados de los estudios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§3.5 y las Tablas 5 y 6 reportan la COMPLETITUD con que cada estudio declara los cinco desenlaces, no sus estimaciones de efecto. El dato brazo a brazo se aporta en S14, y la procedencia de cada casilla en S15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20a-d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Resultados de la síntesis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§3.3 a §3.6; la síntesis es de estructura y de completitud de reporte, no de eficacia, y §3.6 razona por qué no puede ser otra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Sesgos de publicación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Certeza de la evidencia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NO APLICA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No hay estimación agrupada cuya certeza calificar; ver §2.7 y §3.5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23a-d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Discusión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Interpretación, limitaciones, implicaciones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§4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24a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Registro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Número o declaración de no registro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 (declarado)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§2.1 declara explícitamente que NO está registrada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24b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Protocolo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Dónde consultarlo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PARCIAL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Repositorio del proyecto; no depositado en registro público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24c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Enmiendas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 (enmiendas declaradas)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Todas posteriores al cribado y declaradas (§2.9 y §3.1.1): la restricción de idioma a inglés y español (11-08-2026), con su impacto medido: 35 estudios eliminados, 18 de ellos comparativos y 1 del conjunto de control positivo; NOREC, adoptado el 02-09-2026 para 1 estudio y aplicado el 06-10-2026 a 3 más, y ampliado ese mismo día a NOPDF, que excluye todo estudio sin el artículo completo (63 estudios); NOORG (14-09-2026, fichas de registro que no declaran el organismo; 7 estudios), y los códigos IDI, PRO e INT, añadidos después del vocabulario original. El registro de decisiones es solo-anexar y permite reconstruir el corpus previo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Apoyo económico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Declaraciones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Conflictos de interés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Declaraciones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Disponibilidad de datos y código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CUMPLE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Declaraciones y S3–S6</w:t>
            </w:r>
          </w:p>
        </w:tc>
      </w:tr>
    </w:tbl>
    <w:p/>
    <w:p>
      <w:pPr>
        <w:pStyle w:val="Heading2"/>
      </w:pPr>
      <w:r>
        <w:t>Resumen del estado</w:t>
      </w:r>
    </w:p>
    <w:p>
      <w:pPr>
        <w:pStyle w:val="ListBullet"/>
      </w:pPr>
      <w:r>
        <w:t>CUMPLE: 21 ítems</w:t>
      </w:r>
    </w:p>
    <w:p>
      <w:pPr>
        <w:pStyle w:val="ListBullet"/>
      </w:pPr>
      <w:r>
        <w:t>PARCIAL: 7 ítems</w:t>
      </w:r>
    </w:p>
    <w:p>
      <w:pPr>
        <w:pStyle w:val="ListBullet"/>
      </w:pPr>
      <w:r>
        <w:t>NO APLICA: 3 ítems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