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2"/>
        </w:rPr>
        <w:t>BORRADOR — NO DEPOSITAR: 14 marcadores sin rellenar</w:t>
      </w:r>
    </w:p>
    <w:p>
      <w:pPr>
        <w:pStyle w:val="Heading1"/>
      </w:pPr>
      <w:r>
        <w:rPr>
          <w:rFonts w:ascii="Times New Roman" w:hAnsi="Times New Roman"/>
          <w:b w:val="0"/>
          <w:i w:val="0"/>
          <w:sz w:val="30"/>
        </w:rPr>
        <w:t xml:space="preserve">Fagoterapia en infecciones por </w:t>
      </w:r>
      <w:r>
        <w:rPr>
          <w:rFonts w:ascii="Times New Roman" w:hAnsi="Times New Roman"/>
          <w:b w:val="0"/>
          <w:i/>
          <w:sz w:val="30"/>
        </w:rPr>
        <w:t>Pseudomonas aeruginosa</w:t>
      </w:r>
      <w:r>
        <w:rPr>
          <w:rFonts w:ascii="Times New Roman" w:hAnsi="Times New Roman"/>
          <w:b w:val="0"/>
          <w:i w:val="0"/>
          <w:sz w:val="30"/>
        </w:rPr>
        <w:t xml:space="preserve"> resistente: protocolo de una revisión sistemática de la literatura clínica y la completitud de su reporte</w:t>
      </w:r>
    </w:p>
    <w:p>
      <w:pPr>
        <w:jc w:val="both"/>
      </w:pPr>
      <w:r>
        <w:rPr>
          <w:rFonts w:ascii="Times New Roman" w:hAnsi="Times New Roman"/>
          <w:b/>
          <w:i w:val="0"/>
          <w:sz w:val="22"/>
        </w:rPr>
        <w:t>Versión:</w:t>
      </w:r>
      <w:r>
        <w:rPr>
          <w:rFonts w:ascii="Times New Roman" w:hAnsi="Times New Roman"/>
          <w:b w:val="0"/>
          <w:i w:val="0"/>
          <w:sz w:val="22"/>
        </w:rPr>
        <w:t xml:space="preserve"> 1.2, borrador para depósito en OSF Registries con la plantilla </w:t>
      </w:r>
      <w:r>
        <w:rPr>
          <w:rFonts w:ascii="Times New Roman" w:hAnsi="Times New Roman"/>
          <w:b w:val="0"/>
          <w:i/>
          <w:sz w:val="22"/>
        </w:rPr>
        <w:t>Generalized Systematic Review Registration</w:t>
      </w:r>
      <w:r>
        <w:rPr>
          <w:rFonts w:ascii="Times New Roman" w:hAnsi="Times New Roman"/>
          <w:b w:val="0"/>
          <w:i w:val="0"/>
          <w:sz w:val="22"/>
        </w:rPr>
        <w:t xml:space="preserve"> (van den Akker et al., </w:t>
      </w:r>
      <w:r>
        <w:rPr>
          <w:rFonts w:ascii="Times New Roman" w:hAnsi="Times New Roman"/>
          <w:b w:val="0"/>
          <w:i/>
          <w:sz w:val="22"/>
        </w:rPr>
        <w:t>Syst Rev</w:t>
      </w:r>
      <w:r>
        <w:rPr>
          <w:rFonts w:ascii="Times New Roman" w:hAnsi="Times New Roman"/>
          <w:b w:val="0"/>
          <w:i w:val="0"/>
          <w:sz w:val="22"/>
        </w:rPr>
        <w:t xml:space="preserve"> 2023;12:170).</w:t>
      </w:r>
    </w:p>
    <w:p>
      <w:pPr>
        <w:jc w:val="both"/>
      </w:pPr>
      <w:r>
        <w:rPr>
          <w:rFonts w:ascii="Times New Roman" w:hAnsi="Times New Roman"/>
          <w:b/>
          <w:i w:val="0"/>
          <w:sz w:val="22"/>
        </w:rPr>
        <w:t>Fecha e identificador:</w:t>
      </w:r>
      <w:r>
        <w:rPr>
          <w:rFonts w:ascii="Times New Roman" w:hAnsi="Times New Roman"/>
          <w:b w:val="0"/>
          <w:i w:val="0"/>
          <w:sz w:val="22"/>
        </w:rPr>
        <w:t xml:space="preserve"> los asigna OSF al registrar. Ninguna etapa de la fase definitiva (sección 17) empieza antes de esa fecha.</w:t>
      </w:r>
    </w:p>
    <w:p>
      <w:pPr>
        <w:jc w:val="both"/>
      </w:pPr>
      <w:r>
        <w:rPr>
          <w:rFonts w:ascii="Times New Roman" w:hAnsi="Times New Roman"/>
          <w:b/>
          <w:i w:val="0"/>
          <w:sz w:val="22"/>
        </w:rPr>
        <w:t>Tipo de revisión:</w:t>
      </w:r>
      <w:r>
        <w:rPr>
          <w:rFonts w:ascii="Times New Roman" w:hAnsi="Times New Roman"/>
          <w:b w:val="0"/>
          <w:i w:val="0"/>
          <w:sz w:val="22"/>
        </w:rPr>
        <w:t xml:space="preserve"> revisión sistemática de estudios clínicos, con evaluación de la completitud del reporte y de la viabilidad de una síntesis cuantitativa.</w:t>
      </w:r>
    </w:p>
    <w:p>
      <w:pPr>
        <w:jc w:val="both"/>
      </w:pPr>
      <w:r>
        <w:rPr>
          <w:rFonts w:ascii="Times New Roman" w:hAnsi="Times New Roman"/>
          <w:b/>
          <w:i w:val="0"/>
          <w:sz w:val="22"/>
        </w:rPr>
        <w:t>Palabras clave:</w:t>
      </w:r>
      <w:r>
        <w:rPr>
          <w:rFonts w:ascii="Times New Roman" w:hAnsi="Times New Roman"/>
          <w:b w:val="0"/>
          <w:i w:val="0"/>
          <w:sz w:val="22"/>
        </w:rPr>
        <w:t xml:space="preserve"> bacteriófagos; fagoterapia; </w:t>
      </w:r>
      <w:r>
        <w:rPr>
          <w:rFonts w:ascii="Times New Roman" w:hAnsi="Times New Roman"/>
          <w:b w:val="0"/>
          <w:i/>
          <w:sz w:val="22"/>
        </w:rPr>
        <w:t>Pseudomonas aeruginosa</w:t>
      </w:r>
      <w:r>
        <w:rPr>
          <w:rFonts w:ascii="Times New Roman" w:hAnsi="Times New Roman"/>
          <w:b w:val="0"/>
          <w:i w:val="0"/>
          <w:sz w:val="22"/>
        </w:rPr>
        <w:t>; multirresistencia; revisión sistemática; PRISMA.</w:t>
      </w:r>
    </w:p>
    <w:p>
      <w:pPr>
        <w:jc w:val="both"/>
      </w:pPr>
      <w:r>
        <w:rPr>
          <w:rFonts w:ascii="Times New Roman" w:hAnsi="Times New Roman"/>
          <w:b/>
          <w:i w:val="0"/>
          <w:sz w:val="22"/>
        </w:rPr>
        <w:t>Estado al registrar:</w:t>
      </w:r>
    </w:p>
    <w:p>
      <w:pPr>
        <w:jc w:val="both"/>
      </w:pPr>
      <w:r>
        <w:rPr>
          <w:rFonts w:ascii="Times New Roman" w:hAnsi="Times New Roman"/>
          <w:b w:val="0"/>
          <w:i w:val="0"/>
          <w:sz w:val="22"/>
        </w:rPr>
        <w:t>| Etapa | Fase piloto | Fase definitiva |</w:t>
      </w:r>
    </w:p>
    <w:p>
      <w:pPr>
        <w:jc w:val="both"/>
      </w:pPr>
      <w:r>
        <w:rPr>
          <w:rFonts w:ascii="Times New Roman" w:hAnsi="Times New Roman"/>
          <w:b w:val="0"/>
          <w:i w:val="0"/>
          <w:sz w:val="22"/>
        </w:rPr>
        <w:t>|---|---|---|</w:t>
      </w:r>
    </w:p>
    <w:p>
      <w:pPr>
        <w:jc w:val="both"/>
      </w:pPr>
      <w:r>
        <w:rPr>
          <w:rFonts w:ascii="Times New Roman" w:hAnsi="Times New Roman"/>
          <w:b w:val="0"/>
          <w:i w:val="0"/>
          <w:sz w:val="22"/>
        </w:rPr>
        <w:t>| Búsqueda | completada (ejecuciones documentadas: 3 y 4-ago-2026) | no iniciada |</w:t>
      </w:r>
    </w:p>
    <w:p>
      <w:pPr>
        <w:jc w:val="both"/>
      </w:pPr>
      <w:r>
        <w:rPr>
          <w:rFonts w:ascii="Times New Roman" w:hAnsi="Times New Roman"/>
          <w:b w:val="0"/>
          <w:i w:val="0"/>
          <w:sz w:val="22"/>
        </w:rPr>
        <w:t>| Cribado de título y resumen | completado | no iniciado |</w:t>
      </w:r>
    </w:p>
    <w:p>
      <w:pPr>
        <w:jc w:val="both"/>
      </w:pPr>
      <w:r>
        <w:rPr>
          <w:rFonts w:ascii="Times New Roman" w:hAnsi="Times New Roman"/>
          <w:b w:val="0"/>
          <w:i w:val="0"/>
          <w:sz w:val="22"/>
        </w:rPr>
        <w:t>| Elegibilidad a texto completo | completada | no iniciada |</w:t>
      </w:r>
    </w:p>
    <w:p>
      <w:pPr>
        <w:jc w:val="both"/>
      </w:pPr>
      <w:r>
        <w:rPr>
          <w:rFonts w:ascii="Times New Roman" w:hAnsi="Times New Roman"/>
          <w:b w:val="0"/>
          <w:i w:val="0"/>
          <w:sz w:val="22"/>
        </w:rPr>
        <w:t>| Extracción | completada y adjudicada | no iniciada |</w:t>
      </w:r>
    </w:p>
    <w:p>
      <w:pPr>
        <w:jc w:val="both"/>
      </w:pPr>
      <w:r>
        <w:rPr>
          <w:rFonts w:ascii="Times New Roman" w:hAnsi="Times New Roman"/>
          <w:b w:val="0"/>
          <w:i w:val="0"/>
          <w:sz w:val="22"/>
        </w:rPr>
        <w:t>| Riesgo de sesgo | completado | no iniciado |</w:t>
      </w:r>
    </w:p>
    <w:p>
      <w:pPr>
        <w:jc w:val="both"/>
      </w:pPr>
      <w:r>
        <w:rPr>
          <w:rFonts w:ascii="Times New Roman" w:hAnsi="Times New Roman"/>
          <w:b w:val="0"/>
          <w:i w:val="0"/>
          <w:sz w:val="22"/>
        </w:rPr>
        <w:t>| Síntesis | completada | no iniciada |</w:t>
      </w:r>
    </w:p>
    <w:p>
      <w:pPr>
        <w:jc w:val="both"/>
      </w:pPr>
      <w:r>
        <w:rPr>
          <w:rFonts w:ascii="Times New Roman" w:hAnsi="Times New Roman"/>
          <w:b/>
          <w:i w:val="0"/>
          <w:sz w:val="22"/>
        </w:rPr>
        <w:t>Fechas previstas de la fase definitiva:</w:t>
      </w:r>
      <w:r>
        <w:rPr>
          <w:rFonts w:ascii="Times New Roman" w:hAnsi="Times New Roman"/>
          <w:b w:val="0"/>
          <w:i w:val="0"/>
          <w:sz w:val="22"/>
        </w:rPr>
        <w:t xml:space="preserve"> inicio ‹‹FECHA, POSTERIOR AL DEPÓSITO››; fin ‹‹FECHA››. El informe de la fase piloto no se ha enviado a ninguna revista y no se enviará como tal.</w:t>
      </w:r>
    </w:p>
    <w:p>
      <w:pPr>
        <w:pStyle w:val="Heading2"/>
      </w:pPr>
      <w:r>
        <w:rPr>
          <w:rFonts w:ascii="Times New Roman" w:hAnsi="Times New Roman"/>
          <w:b w:val="0"/>
          <w:i w:val="0"/>
          <w:sz w:val="26"/>
        </w:rPr>
        <w:t>1. Identificación</w:t>
      </w:r>
    </w:p>
    <w:p>
      <w:pPr>
        <w:jc w:val="both"/>
      </w:pPr>
      <w:r>
        <w:rPr>
          <w:rFonts w:ascii="Times New Roman" w:hAnsi="Times New Roman"/>
          <w:b w:val="0"/>
          <w:i w:val="0"/>
          <w:sz w:val="22"/>
        </w:rPr>
        <w:t xml:space="preserve">Protocolo de una revisión sistemática, redactado conforme a PRISMA-P 2015 (Moher et al., </w:t>
      </w:r>
      <w:r>
        <w:rPr>
          <w:rFonts w:ascii="Times New Roman" w:hAnsi="Times New Roman"/>
          <w:b w:val="0"/>
          <w:i/>
          <w:sz w:val="22"/>
        </w:rPr>
        <w:t>Syst Rev</w:t>
      </w:r>
      <w:r>
        <w:rPr>
          <w:rFonts w:ascii="Times New Roman" w:hAnsi="Times New Roman"/>
          <w:b w:val="0"/>
          <w:i w:val="0"/>
          <w:sz w:val="22"/>
        </w:rPr>
        <w:t xml:space="preserve"> 2015;4:1). La revisión se reportará conforme a PRISMA 2020 (Page et al., </w:t>
      </w:r>
      <w:r>
        <w:rPr>
          <w:rFonts w:ascii="Times New Roman" w:hAnsi="Times New Roman"/>
          <w:b w:val="0"/>
          <w:i/>
          <w:sz w:val="22"/>
        </w:rPr>
        <w:t>BMJ</w:t>
      </w:r>
      <w:r>
        <w:rPr>
          <w:rFonts w:ascii="Times New Roman" w:hAnsi="Times New Roman"/>
          <w:b w:val="0"/>
          <w:i w:val="0"/>
          <w:sz w:val="22"/>
        </w:rPr>
        <w:t xml:space="preserve"> 2021;372:n71). El anexo E hace corresponder cada campo de la plantilla de OSF con la sección que lo responde.</w:t>
      </w:r>
    </w:p>
    <w:p>
      <w:pPr>
        <w:pStyle w:val="Heading2"/>
      </w:pPr>
      <w:r>
        <w:rPr>
          <w:rFonts w:ascii="Times New Roman" w:hAnsi="Times New Roman"/>
          <w:b w:val="0"/>
          <w:i w:val="0"/>
          <w:sz w:val="26"/>
        </w:rPr>
        <w:t>2. Registro</w:t>
      </w:r>
    </w:p>
    <w:p>
      <w:pPr>
        <w:jc w:val="both"/>
      </w:pPr>
      <w:r>
        <w:rPr>
          <w:rFonts w:ascii="Times New Roman" w:hAnsi="Times New Roman"/>
          <w:b w:val="0"/>
          <w:i w:val="0"/>
          <w:sz w:val="22"/>
        </w:rPr>
        <w:t xml:space="preserve">Se deposita en OSF Registries. </w:t>
      </w:r>
      <w:r>
        <w:rPr>
          <w:rFonts w:ascii="Times New Roman" w:hAnsi="Times New Roman"/>
          <w:b/>
          <w:i w:val="0"/>
          <w:sz w:val="22"/>
        </w:rPr>
        <w:t>No se registra en PROSPERO</w:t>
      </w:r>
      <w:r>
        <w:rPr>
          <w:rFonts w:ascii="Times New Roman" w:hAnsi="Times New Roman"/>
          <w:b w:val="0"/>
          <w:i w:val="0"/>
          <w:sz w:val="22"/>
        </w:rPr>
        <w:t xml:space="preserve">, que solo admite revisiones cuya extracción de datos no ha empezado: la fase piloto (sección 3) extrajo datos. Lo que se registra es la </w:t>
      </w:r>
      <w:r>
        <w:rPr>
          <w:rFonts w:ascii="Times New Roman" w:hAnsi="Times New Roman"/>
          <w:b/>
          <w:i w:val="0"/>
          <w:sz w:val="22"/>
        </w:rPr>
        <w:t>fase definitiva</w:t>
      </w:r>
      <w:r>
        <w:rPr>
          <w:rFonts w:ascii="Times New Roman" w:hAnsi="Times New Roman"/>
          <w:b w:val="0"/>
          <w:i w:val="0"/>
          <w:sz w:val="22"/>
        </w:rPr>
        <w:t>, y todo lo que la sección 17 enumera se hará después de la fecha del depósito.</w:t>
      </w:r>
    </w:p>
    <w:p>
      <w:pPr>
        <w:pStyle w:val="Heading2"/>
      </w:pPr>
      <w:r>
        <w:rPr>
          <w:rFonts w:ascii="Times New Roman" w:hAnsi="Times New Roman"/>
          <w:b w:val="0"/>
          <w:i w:val="0"/>
          <w:sz w:val="26"/>
        </w:rPr>
        <w:t>3. La fase piloto y lo que los autores ya conocen</w:t>
      </w:r>
    </w:p>
    <w:p>
      <w:pPr>
        <w:jc w:val="both"/>
      </w:pPr>
      <w:r>
        <w:rPr>
          <w:rFonts w:ascii="Times New Roman" w:hAnsi="Times New Roman"/>
          <w:b w:val="0"/>
          <w:i w:val="0"/>
          <w:sz w:val="22"/>
        </w:rPr>
        <w:t>Esta sección es obligatoria. Todo informe derivado de este protocolo la reproduce en Métodos y la resume en una frase en el resumen.</w:t>
      </w:r>
    </w:p>
    <w:p>
      <w:pPr>
        <w:pStyle w:val="Heading3"/>
      </w:pPr>
      <w:r>
        <w:rPr>
          <w:rFonts w:ascii="Times New Roman" w:hAnsi="Times New Roman"/>
          <w:b w:val="0"/>
          <w:i w:val="0"/>
          <w:sz w:val="22"/>
        </w:rPr>
        <w:t>3.1 Qué se hizo</w:t>
      </w:r>
    </w:p>
    <w:p>
      <w:pPr>
        <w:jc w:val="both"/>
      </w:pPr>
      <w:r>
        <w:rPr>
          <w:rFonts w:ascii="Times New Roman" w:hAnsi="Times New Roman"/>
          <w:b w:val="0"/>
          <w:i w:val="0"/>
          <w:sz w:val="22"/>
        </w:rPr>
        <w:t xml:space="preserve">Entre julio y el 6 de octubre de 2026 los autores condujeron una fase piloto sobre el mismo tema, pero </w:t>
      </w:r>
      <w:r>
        <w:rPr>
          <w:rFonts w:ascii="Times New Roman" w:hAnsi="Times New Roman"/>
          <w:b/>
          <w:i w:val="0"/>
          <w:sz w:val="22"/>
        </w:rPr>
        <w:t>no con la misma pregunta</w:t>
      </w:r>
      <w:r>
        <w:rPr>
          <w:rFonts w:ascii="Times New Roman" w:hAnsi="Times New Roman"/>
          <w:b w:val="0"/>
          <w:i w:val="0"/>
          <w:sz w:val="22"/>
        </w:rPr>
        <w:t>.</w:t>
      </w:r>
    </w:p>
    <w:p>
      <w:pPr>
        <w:pStyle w:val="ListBullet"/>
      </w:pPr>
      <w:r>
        <w:rPr>
          <w:rFonts w:ascii="Times New Roman" w:hAnsi="Times New Roman"/>
          <w:b/>
          <w:i w:val="0"/>
          <w:sz w:val="22"/>
        </w:rPr>
        <w:t>Julio de 2026.</w:t>
      </w:r>
      <w:r>
        <w:rPr>
          <w:rFonts w:ascii="Times New Roman" w:hAnsi="Times New Roman"/>
          <w:b w:val="0"/>
          <w:i w:val="0"/>
          <w:sz w:val="22"/>
        </w:rPr>
        <w:t xml:space="preserve"> Fue una revisión con un metaanálisis exploratorio de eficacia, de 40 brazos de 33 estudios. Agrupó proporciones de éxito clínico y de erradicación, y calificó con GRADE 15 celdas.</w:t>
      </w:r>
    </w:p>
    <w:p>
      <w:pPr>
        <w:pStyle w:val="ListBullet"/>
      </w:pPr>
      <w:r>
        <w:rPr>
          <w:rFonts w:ascii="Times New Roman" w:hAnsi="Times New Roman"/>
          <w:b/>
          <w:i w:val="0"/>
          <w:sz w:val="22"/>
        </w:rPr>
        <w:t>10 de agosto de 2026.</w:t>
      </w:r>
      <w:r>
        <w:rPr>
          <w:rFonts w:ascii="Times New Roman" w:hAnsi="Times New Roman"/>
          <w:b w:val="0"/>
          <w:i w:val="0"/>
          <w:sz w:val="22"/>
        </w:rPr>
        <w:t xml:space="preserve"> Con los datos a la vista, se aparcó el metaanálisis, y la pregunta pasó a la caracterización y la «verificabilidad» del cuerpo de evidencia.</w:t>
      </w:r>
    </w:p>
    <w:p>
      <w:pPr>
        <w:pStyle w:val="ListBullet"/>
      </w:pPr>
      <w:r>
        <w:rPr>
          <w:rFonts w:ascii="Times New Roman" w:hAnsi="Times New Roman"/>
          <w:b/>
          <w:i w:val="0"/>
          <w:sz w:val="22"/>
        </w:rPr>
        <w:t>14 de septiembre de 2026.</w:t>
      </w:r>
      <w:r>
        <w:rPr>
          <w:rFonts w:ascii="Times New Roman" w:hAnsi="Times New Roman"/>
          <w:b w:val="0"/>
          <w:i w:val="0"/>
          <w:sz w:val="22"/>
        </w:rPr>
        <w:t xml:space="preserve"> La pregunta se renombró «completitud del reporte».</w:t>
      </w:r>
    </w:p>
    <w:p>
      <w:pPr>
        <w:jc w:val="both"/>
      </w:pPr>
      <w:r>
        <w:rPr>
          <w:rFonts w:ascii="Times New Roman" w:hAnsi="Times New Roman"/>
          <w:b w:val="0"/>
          <w:i w:val="0"/>
          <w:sz w:val="22"/>
        </w:rPr>
        <w:t>Las preguntas de la sección 7 se formularon, por tanto, conociendo el corpus del piloto.</w:t>
      </w:r>
    </w:p>
    <w:p>
      <w:pPr>
        <w:pStyle w:val="ListBullet"/>
      </w:pPr>
      <w:r>
        <w:rPr>
          <w:rFonts w:ascii="Times New Roman" w:hAnsi="Times New Roman"/>
          <w:b/>
          <w:i w:val="0"/>
          <w:sz w:val="22"/>
        </w:rPr>
        <w:t>Búsqueda.</w:t>
      </w:r>
    </w:p>
    <w:p>
      <w:pPr>
        <w:pStyle w:val="ListBullet2"/>
      </w:pPr>
      <w:r>
        <w:rPr>
          <w:rFonts w:ascii="Times New Roman" w:hAnsi="Times New Roman"/>
          <w:b/>
          <w:i w:val="0"/>
          <w:sz w:val="22"/>
        </w:rPr>
        <w:t>Fuentes:</w:t>
      </w:r>
      <w:r>
        <w:rPr>
          <w:rFonts w:ascii="Times New Roman" w:hAnsi="Times New Roman"/>
          <w:b w:val="0"/>
          <w:i w:val="0"/>
          <w:sz w:val="22"/>
        </w:rPr>
        <w:t xml:space="preserve"> ocho, con las ecuaciones del anexo A, salvo CTIS, que se interrogó con dos términos. ProQuest se interrogó en dos brazos (4 416 registros) y no se exportó.</w:t>
      </w:r>
    </w:p>
    <w:p>
      <w:pPr>
        <w:pStyle w:val="ListBullet2"/>
      </w:pPr>
      <w:r>
        <w:rPr>
          <w:rFonts w:ascii="Times New Roman" w:hAnsi="Times New Roman"/>
          <w:b/>
          <w:i w:val="0"/>
          <w:sz w:val="22"/>
        </w:rPr>
        <w:t>Fechas:</w:t>
      </w:r>
      <w:r>
        <w:rPr>
          <w:rFonts w:ascii="Times New Roman" w:hAnsi="Times New Roman"/>
          <w:b w:val="0"/>
          <w:i w:val="0"/>
          <w:sz w:val="22"/>
        </w:rPr>
        <w:t xml:space="preserve"> las ejecuciones documentadas son del 3 y el 4 de agosto de 2026. La exportación de BVS se incorporó al corpus el 10 de agosto.</w:t>
      </w:r>
    </w:p>
    <w:p>
      <w:pPr>
        <w:pStyle w:val="ListBullet2"/>
      </w:pPr>
      <w:r>
        <w:rPr>
          <w:rFonts w:ascii="Times New Roman" w:hAnsi="Times New Roman"/>
          <w:b/>
          <w:i w:val="0"/>
          <w:sz w:val="22"/>
        </w:rPr>
        <w:t>Autoría de las búsquedas.</w:t>
      </w:r>
      <w:r>
        <w:rPr>
          <w:rFonts w:ascii="Times New Roman" w:hAnsi="Times New Roman"/>
          <w:b w:val="0"/>
          <w:i w:val="0"/>
          <w:sz w:val="22"/>
        </w:rPr>
        <w:t xml:space="preserve"> Según declara D.V. (8 de octubre de 2026), diseñó las ecuaciones con la participación del modelo y las ejecutó en cada interfaz con la guía del modelo. Los mensajes de los commits del 3 de agosto de 2026, que redactó el modelo, narran la ejecución en primera persona; según D.V., el modelo le guiaba y redactó esos mensajes. Los registros de PubMed y ClinicalTrials.gov se descargaron por API con guiones escritos por el modelo; solo los recuentos de ClinicalTrials.gov se cuadraron con los de la interfaz. No consta la fecha de la ejecución de Scopus cuya exportación entró al corpus (2 871 y 9 360 registros).</w:t>
      </w:r>
    </w:p>
    <w:p>
      <w:pPr>
        <w:pStyle w:val="ListBullet"/>
      </w:pPr>
      <w:r>
        <w:rPr>
          <w:rFonts w:ascii="Times New Roman" w:hAnsi="Times New Roman"/>
          <w:b/>
          <w:i w:val="0"/>
          <w:sz w:val="22"/>
        </w:rPr>
        <w:t>Selección.</w:t>
      </w:r>
    </w:p>
    <w:p>
      <w:pPr>
        <w:pStyle w:val="ListBullet2"/>
      </w:pPr>
      <w:r>
        <w:rPr>
          <w:rFonts w:ascii="Times New Roman" w:hAnsi="Times New Roman"/>
          <w:b w:val="0"/>
          <w:i w:val="0"/>
          <w:sz w:val="22"/>
        </w:rPr>
        <w:t>La etapa 1 aplicó cuatro reglas deterministas.</w:t>
      </w:r>
    </w:p>
    <w:p>
      <w:pPr>
        <w:pStyle w:val="ListBullet2"/>
      </w:pPr>
      <w:r>
        <w:rPr>
          <w:rFonts w:ascii="Times New Roman" w:hAnsi="Times New Roman"/>
          <w:b w:val="0"/>
          <w:i w:val="0"/>
          <w:sz w:val="22"/>
        </w:rPr>
        <w:t>Las decisiones de las etapas 2 y 3 las emitió un modelo de lenguaje (Claude Opus 5, Anthropic). El registro las anota como «revisor único, sin duplicación».</w:t>
      </w:r>
    </w:p>
    <w:p>
      <w:pPr>
        <w:pStyle w:val="ListBullet2"/>
      </w:pPr>
      <w:r>
        <w:rPr>
          <w:rFonts w:ascii="Times New Roman" w:hAnsi="Times New Roman"/>
          <w:b/>
          <w:i w:val="0"/>
          <w:sz w:val="22"/>
        </w:rPr>
        <w:t>El vocabulario de motivos no estaba fijado antes de empezar.</w:t>
      </w:r>
      <w:r>
        <w:rPr>
          <w:rFonts w:ascii="Times New Roman" w:hAnsi="Times New Roman"/>
          <w:b w:val="0"/>
          <w:i w:val="0"/>
          <w:sz w:val="22"/>
        </w:rPr>
        <w:t xml:space="preserve"> Las decisiones del primer día de cribado de títulos (4 de agosto de 2026) llevan el motivo en texto libre, con 20 redacciones distintas en sus exclusiones; los seis códigos, cuya redacción procede de esos textos, se usaron desde el 5 de agosto, y las exclusiones del primer día se asignaron después a un código. No consta que los autores fijaran los códigos antes de empezar. Ese mismo día se añadieron, a mitad de lote, la exclusión de las endolisinas aisladas y la de los informes veterinarios.</w:t>
      </w:r>
    </w:p>
    <w:p>
      <w:pPr>
        <w:pStyle w:val="ListBullet2"/>
      </w:pPr>
      <w:r>
        <w:rPr>
          <w:rFonts w:ascii="Times New Roman" w:hAnsi="Times New Roman"/>
          <w:b/>
          <w:i w:val="0"/>
          <w:sz w:val="22"/>
        </w:rPr>
        <w:t>Lo que hizo D.V.</w:t>
      </w:r>
      <w:r>
        <w:rPr>
          <w:rFonts w:ascii="Times New Roman" w:hAnsi="Times New Roman"/>
          <w:b w:val="0"/>
          <w:i w:val="0"/>
          <w:sz w:val="22"/>
        </w:rPr>
        <w:t xml:space="preserve"> Fue el único revisor humano. D.V. examinó uno a uno los informes que superaron el cribado (declaración de D.V., 8 de octubre de 2026), pero ese examen no quedó registrado: las columnas de decisión y de revisor de la hoja Texto_completo están vacías.</w:t>
      </w:r>
    </w:p>
    <w:p>
      <w:pPr>
        <w:pStyle w:val="ListBullet2"/>
      </w:pPr>
      <w:r>
        <w:rPr>
          <w:rFonts w:ascii="Times New Roman" w:hAnsi="Times New Roman"/>
          <w:b w:val="0"/>
          <w:i w:val="0"/>
          <w:sz w:val="22"/>
        </w:rPr>
        <w:t>Lo que el modelo excluyó no lo releyó ningún humano, salvo una muestra de 350 que D.V. recribó en Rayyan sin otro revisor y sin los criterios a la vista. Incluyó 6, y al contrastarlos con los criterios D.V. los reclasificó como excluidos (0 de 350).</w:t>
      </w:r>
    </w:p>
    <w:p>
      <w:pPr>
        <w:pStyle w:val="ListBullet2"/>
      </w:pPr>
      <w:r>
        <w:rPr>
          <w:rFonts w:ascii="Times New Roman" w:hAnsi="Times New Roman"/>
          <w:b w:val="0"/>
          <w:i w:val="0"/>
          <w:sz w:val="22"/>
        </w:rPr>
        <w:t>La restricción de idioma se aplicó el 11 de agosto de 2026, con el cribado concluido. El modelo emitió las 35 exclusiones de la etapa de resumen: 32 al aplicar la restricción y 3 tras consultar el texto completo o la web del editor. Entre ellas hay un control positivo (Ronit 2024, en danés).</w:t>
      </w:r>
    </w:p>
    <w:p>
      <w:pPr>
        <w:pStyle w:val="ListBullet2"/>
      </w:pPr>
      <w:r>
        <w:rPr>
          <w:rFonts w:ascii="Times New Roman" w:hAnsi="Times New Roman"/>
          <w:b w:val="0"/>
          <w:i w:val="0"/>
          <w:sz w:val="22"/>
        </w:rPr>
        <w:t>Siguieron la agrupación de informes en estudios y la lectura de los textos completos. En esa lectura el modelo localizó y propuso las exclusiones, con la frase del artículo. Los dos autores las firmaron todas salvo dos, que firmó D.V. solo el 2 de septiembre de 2026: EST-118 (NOREC) y EST-205 (REV, decidida sobre la indexación de SciELO sin leer el texto). En las fichas de registro, el cuaderno llevaba ya el veredicto y la frase propuestos.</w:t>
      </w:r>
    </w:p>
    <w:p>
      <w:pPr>
        <w:pStyle w:val="ListBullet2"/>
      </w:pPr>
      <w:r>
        <w:rPr>
          <w:rFonts w:ascii="Times New Roman" w:hAnsi="Times New Roman"/>
          <w:b w:val="0"/>
          <w:i w:val="0"/>
          <w:sz w:val="22"/>
        </w:rPr>
        <w:t>Además, 4 estudios salieron por IDI a texto completo el 1 de septiembre de 2026, firmados por los dos, y 3 por idioma no verificable el 6 de octubre (NOREC).</w:t>
      </w:r>
    </w:p>
    <w:p>
      <w:pPr>
        <w:pStyle w:val="ListBullet"/>
      </w:pPr>
      <w:r>
        <w:rPr>
          <w:rFonts w:ascii="Times New Roman" w:hAnsi="Times New Roman"/>
          <w:b/>
          <w:i w:val="0"/>
          <w:sz w:val="22"/>
        </w:rPr>
        <w:t>Pre-extracción desde el resumen.</w:t>
      </w:r>
      <w:r>
        <w:rPr>
          <w:rFonts w:ascii="Times New Roman" w:hAnsi="Times New Roman"/>
          <w:b w:val="0"/>
          <w:i w:val="0"/>
          <w:sz w:val="22"/>
        </w:rPr>
        <w:t xml:space="preserve"> La emitió el modelo, y fue la fuente de las cifras estructurales del piloto: diseño, completitud en el resumen y efecto de los criterios.</w:t>
      </w:r>
    </w:p>
    <w:p>
      <w:pPr>
        <w:pStyle w:val="ListBullet"/>
      </w:pPr>
      <w:r>
        <w:rPr>
          <w:rFonts w:ascii="Times New Roman" w:hAnsi="Times New Roman"/>
          <w:b/>
          <w:i w:val="0"/>
          <w:sz w:val="22"/>
        </w:rPr>
        <w:t>Extracción.</w:t>
      </w:r>
    </w:p>
    <w:p>
      <w:pPr>
        <w:pStyle w:val="ListBullet2"/>
      </w:pPr>
      <w:r>
        <w:rPr>
          <w:rFonts w:ascii="Times New Roman" w:hAnsi="Times New Roman"/>
          <w:b/>
          <w:i w:val="0"/>
          <w:sz w:val="22"/>
        </w:rPr>
        <w:t>Cuadernos.</w:t>
      </w:r>
      <w:r>
        <w:rPr>
          <w:rFonts w:ascii="Times New Roman" w:hAnsi="Times New Roman"/>
          <w:b w:val="0"/>
          <w:i w:val="0"/>
          <w:sz w:val="22"/>
        </w:rPr>
        <w:t xml:space="preserve"> Hubo dos cuadernos, uno por autor; el segundo cubre 122 de los 124 estudios extraídos.</w:t>
      </w:r>
    </w:p>
    <w:p>
      <w:pPr>
        <w:pStyle w:val="ListBullet2"/>
      </w:pPr>
      <w:r>
        <w:rPr>
          <w:rFonts w:ascii="Times New Roman" w:hAnsi="Times New Roman"/>
          <w:b/>
          <w:i w:val="0"/>
          <w:sz w:val="22"/>
        </w:rPr>
        <w:t>Independencia: no está acreditada.</w:t>
      </w:r>
      <w:r>
        <w:rPr>
          <w:rFonts w:ascii="Times New Roman" w:hAnsi="Times New Roman"/>
          <w:b w:val="0"/>
          <w:i w:val="0"/>
          <w:sz w:val="22"/>
        </w:rPr>
        <w:t xml:space="preserve"> En la columna de texto libre que localiza cada dato, el cuaderno que N.T. entregó el 26 de agosto de 2026, al reincorporarse, coincide carácter por carácter con el de D.V. en las 107 filas comparables, con las mismas erratas («MATERILAES Y METODOS», 49 veces). El 23 de agosto no coincidía en ninguna de 84. La columna de motivo de incompletitud también coincide en todas las filas, pero es un desplegable de lista cerrada, y eso solo no prueba nada. La concordancia del piloto (kappa mediana 0,62) no mide, por tanto, dos lecturas independientes.</w:t>
      </w:r>
    </w:p>
    <w:p>
      <w:pPr>
        <w:pStyle w:val="ListBullet2"/>
      </w:pPr>
      <w:r>
        <w:rPr>
          <w:rFonts w:ascii="Times New Roman" w:hAnsi="Times New Roman"/>
          <w:b/>
          <w:i w:val="0"/>
          <w:sz w:val="22"/>
        </w:rPr>
        <w:t>Desacuerdos.</w:t>
      </w:r>
      <w:r>
        <w:rPr>
          <w:rFonts w:ascii="Times New Roman" w:hAnsi="Times New Roman"/>
          <w:b w:val="0"/>
          <w:i w:val="0"/>
          <w:sz w:val="22"/>
        </w:rPr>
        <w:t xml:space="preserve"> Los 541 desacuerdos de valor se cerraron en el cuaderno de adjudicación. El registro anota a los dos autores en 14 y a un solo autor en 525 (293 D.V. y 232 N.T.); otros 2 se cerraron por una regla mecánica, sin firma conjunta.</w:t>
      </w:r>
    </w:p>
    <w:p>
      <w:pPr>
        <w:pStyle w:val="ListBullet2"/>
      </w:pPr>
      <w:r>
        <w:rPr>
          <w:rFonts w:ascii="Times New Roman" w:hAnsi="Times New Roman"/>
          <w:b/>
          <w:i w:val="0"/>
          <w:sz w:val="22"/>
        </w:rPr>
        <w:t>Formulario.</w:t>
      </w:r>
      <w:r>
        <w:rPr>
          <w:rFonts w:ascii="Times New Roman" w:hAnsi="Times New Roman"/>
          <w:b w:val="0"/>
          <w:i w:val="0"/>
          <w:sz w:val="22"/>
        </w:rPr>
        <w:t xml:space="preserve"> El formulario tuvo 21 variables de datos durante toda la extracción. No consta un piloteo documentado.</w:t>
      </w:r>
    </w:p>
    <w:p>
      <w:pPr>
        <w:pStyle w:val="ListBullet2"/>
      </w:pPr>
      <w:r>
        <w:rPr>
          <w:rFonts w:ascii="Times New Roman" w:hAnsi="Times New Roman"/>
          <w:b/>
          <w:i w:val="0"/>
          <w:sz w:val="22"/>
        </w:rPr>
        <w:t>Relectura.</w:t>
      </w:r>
      <w:r>
        <w:rPr>
          <w:rFonts w:ascii="Times New Roman" w:hAnsi="Times New Roman"/>
          <w:b w:val="0"/>
          <w:i w:val="0"/>
          <w:sz w:val="22"/>
        </w:rPr>
        <w:t xml:space="preserve"> Después hubo una relectura dirigida de los textos completos, con cada conclusión firmada por los dos.</w:t>
      </w:r>
    </w:p>
    <w:p>
      <w:pPr>
        <w:pStyle w:val="ListBullet"/>
      </w:pPr>
      <w:r>
        <w:rPr>
          <w:rFonts w:ascii="Times New Roman" w:hAnsi="Times New Roman"/>
          <w:b/>
          <w:i w:val="0"/>
          <w:sz w:val="22"/>
        </w:rPr>
        <w:t>Riesgo de sesgo. No fue independiente.</w:t>
      </w:r>
    </w:p>
    <w:p>
      <w:pPr>
        <w:pStyle w:val="ListBullet2"/>
      </w:pPr>
      <w:r>
        <w:rPr>
          <w:rFonts w:ascii="Times New Roman" w:hAnsi="Times New Roman"/>
          <w:b w:val="0"/>
          <w:i w:val="0"/>
          <w:sz w:val="22"/>
        </w:rPr>
        <w:t>La noche del 4 al 5 de septiembre de 2026, los dos cuadernos traían los 82 juicios idénticos.</w:t>
      </w:r>
    </w:p>
    <w:p>
      <w:pPr>
        <w:pStyle w:val="ListBullet2"/>
      </w:pPr>
      <w:r>
        <w:rPr>
          <w:rFonts w:ascii="Times New Roman" w:hAnsi="Times New Roman"/>
          <w:b w:val="0"/>
          <w:i w:val="0"/>
          <w:sz w:val="22"/>
        </w:rPr>
        <w:t>Setenta y cinco minutos después se habían vuelto a guardar, con dos segundos de diferencia, con 13 discrepancias, y seguían compartiendo 7 418 caracteres idénticos en las notas de apoyo. El registro del 5 de septiembre concluye que un cuaderno salió del otro.</w:t>
      </w:r>
    </w:p>
    <w:p>
      <w:pPr>
        <w:pStyle w:val="ListBullet2"/>
      </w:pPr>
      <w:r>
        <w:rPr>
          <w:rFonts w:ascii="Times New Roman" w:hAnsi="Times New Roman"/>
          <w:b w:val="0"/>
          <w:i w:val="0"/>
          <w:sz w:val="22"/>
        </w:rPr>
        <w:t>El cuaderno de consenso lo generó el canal con los 69 juicios coincidentes precargados, y coincide con el de D.V. en todos los juicios.</w:t>
      </w:r>
    </w:p>
    <w:p>
      <w:pPr>
        <w:pStyle w:val="ListBullet"/>
      </w:pPr>
      <w:r>
        <w:rPr>
          <w:rFonts w:ascii="Times New Roman" w:hAnsi="Times New Roman"/>
          <w:b/>
          <w:i w:val="0"/>
          <w:sz w:val="22"/>
        </w:rPr>
        <w:t>Revisores.</w:t>
      </w:r>
      <w:r>
        <w:rPr>
          <w:rFonts w:ascii="Times New Roman" w:hAnsi="Times New Roman"/>
          <w:b w:val="0"/>
          <w:i w:val="0"/>
          <w:sz w:val="22"/>
        </w:rPr>
        <w:t xml:space="preserve"> N.T. se retiró del 22 al 26 de agosto de 2026 y volvió.</w:t>
      </w:r>
    </w:p>
    <w:p>
      <w:pPr>
        <w:pStyle w:val="Heading3"/>
      </w:pPr>
      <w:r>
        <w:rPr>
          <w:rFonts w:ascii="Times New Roman" w:hAnsi="Times New Roman"/>
          <w:b w:val="0"/>
          <w:i w:val="0"/>
          <w:sz w:val="22"/>
        </w:rPr>
        <w:t>3.2 Lo que los autores saben</w:t>
      </w:r>
    </w:p>
    <w:p>
      <w:pPr>
        <w:jc w:val="both"/>
      </w:pPr>
      <w:r>
        <w:rPr>
          <w:rFonts w:ascii="Times New Roman" w:hAnsi="Times New Roman"/>
          <w:b w:val="0"/>
          <w:i w:val="0"/>
          <w:sz w:val="22"/>
        </w:rPr>
        <w:t>Los autores conocen el corpus del piloto y sus resultados, entre ellos estos:</w:t>
      </w:r>
    </w:p>
    <w:p>
      <w:pPr>
        <w:pStyle w:val="ListBullet"/>
      </w:pPr>
      <w:r>
        <w:rPr>
          <w:rFonts w:ascii="Times New Roman" w:hAnsi="Times New Roman"/>
          <w:b/>
          <w:i w:val="0"/>
          <w:sz w:val="22"/>
        </w:rPr>
        <w:t>Corpus.</w:t>
      </w:r>
      <w:r>
        <w:rPr>
          <w:rFonts w:ascii="Times New Roman" w:hAnsi="Times New Roman"/>
          <w:b w:val="0"/>
          <w:i w:val="0"/>
          <w:sz w:val="22"/>
        </w:rPr>
        <w:t xml:space="preserve"> Quedó en 65 estudios y 73 brazos. De los 42 controles positivos, siguen en él 35. Salieron uno por idioma (Ronit 2024), uno por NOREC (Leitner 2021, EST-118) y cinco por NOPDF (ArmataAP_PA02, Casazza 2025, Duplessis 2018, Law 2019 y Maddocks 2019).</w:t>
      </w:r>
    </w:p>
    <w:p>
      <w:pPr>
        <w:pStyle w:val="ListBullet"/>
      </w:pPr>
      <w:r>
        <w:rPr>
          <w:rFonts w:ascii="Times New Roman" w:hAnsi="Times New Roman"/>
          <w:b/>
          <w:i w:val="0"/>
          <w:sz w:val="22"/>
        </w:rPr>
        <w:t>Definición del éxito.</w:t>
      </w:r>
      <w:r>
        <w:rPr>
          <w:rFonts w:ascii="Times New Roman" w:hAnsi="Times New Roman"/>
          <w:b w:val="0"/>
          <w:i w:val="0"/>
          <w:sz w:val="22"/>
        </w:rPr>
        <w:t xml:space="preserve"> 43 de los 73 brazos (58,9 %) no daban una definición operativa del éxito clínico.</w:t>
      </w:r>
    </w:p>
    <w:p>
      <w:pPr>
        <w:pStyle w:val="ListBullet"/>
      </w:pPr>
      <w:r>
        <w:rPr>
          <w:rFonts w:ascii="Times New Roman" w:hAnsi="Times New Roman"/>
          <w:b/>
          <w:i w:val="0"/>
          <w:sz w:val="22"/>
        </w:rPr>
        <w:t>Embudo del piloto.</w:t>
      </w:r>
    </w:p>
    <w:p>
      <w:pPr>
        <w:pStyle w:val="ListBullet2"/>
      </w:pPr>
      <w:r>
        <w:rPr>
          <w:rFonts w:ascii="Times New Roman" w:hAnsi="Times New Roman"/>
          <w:b w:val="0"/>
          <w:i w:val="0"/>
          <w:sz w:val="22"/>
        </w:rPr>
        <w:t>Lo superaban 19 brazos de 16 estudios: 14 tenían un solo paciente y los 5 restantes eran series de 2 a 5 pacientes.</w:t>
      </w:r>
    </w:p>
    <w:p>
      <w:pPr>
        <w:pStyle w:val="ListBullet2"/>
      </w:pPr>
      <w:r>
        <w:rPr>
          <w:rFonts w:ascii="Times New Roman" w:hAnsi="Times New Roman"/>
          <w:b w:val="0"/>
          <w:i w:val="0"/>
          <w:sz w:val="22"/>
        </w:rPr>
        <w:t>Aplicó los requisitos 3 a 5 con reglas aproximadas del canal, porque no existían los campos del anexo B: una nota de extracción y una lista fija para la atribución, una expresión regular sobre el título para la finalidad, y una lista fija de un estudio (EST-021) para la métrica. Con las reglas de la sección 16.3 el recuento puede cambiar.</w:t>
      </w:r>
    </w:p>
    <w:p>
      <w:pPr>
        <w:pStyle w:val="ListBullet2"/>
      </w:pPr>
      <w:r>
        <w:rPr>
          <w:rFonts w:ascii="Times New Roman" w:hAnsi="Times New Roman"/>
          <w:b w:val="0"/>
          <w:i w:val="0"/>
          <w:sz w:val="22"/>
        </w:rPr>
        <w:t>Solo 2 brazos reunían diseño comparativo, numerador, denominador y definición, y ninguno superaba el embudo completo.</w:t>
      </w:r>
    </w:p>
    <w:p>
      <w:pPr>
        <w:pStyle w:val="ListBullet"/>
      </w:pPr>
      <w:r>
        <w:rPr>
          <w:rFonts w:ascii="Times New Roman" w:hAnsi="Times New Roman"/>
          <w:b/>
          <w:i w:val="0"/>
          <w:sz w:val="22"/>
        </w:rPr>
        <w:t>Idioma.</w:t>
      </w:r>
    </w:p>
    <w:p>
      <w:pPr>
        <w:pStyle w:val="ListBullet2"/>
      </w:pPr>
      <w:r>
        <w:rPr>
          <w:rFonts w:ascii="Times New Roman" w:hAnsi="Times New Roman"/>
          <w:b w:val="0"/>
          <w:i w:val="0"/>
          <w:sz w:val="22"/>
        </w:rPr>
        <w:t>El criterio excluyó 39 estudios: 35 en el cribado de resúmenes (sección 3.1) y 4 a texto completo. Otros 3 salieron por idioma no verificable.</w:t>
      </w:r>
    </w:p>
    <w:p>
      <w:pPr>
        <w:pStyle w:val="ListBullet2"/>
      </w:pPr>
      <w:r>
        <w:rPr>
          <w:rFonts w:ascii="Times New Roman" w:hAnsi="Times New Roman"/>
          <w:b w:val="0"/>
          <w:i w:val="0"/>
          <w:sz w:val="22"/>
        </w:rPr>
        <w:t>Según la pre-extracción del modelo, la restricción se llevó 18 de los 41 ensayos y 5 de los 21 ensayos aleatorizados.</w:t>
      </w:r>
    </w:p>
    <w:p>
      <w:pPr>
        <w:pStyle w:val="ListBullet"/>
      </w:pPr>
      <w:r>
        <w:rPr>
          <w:rFonts w:ascii="Times New Roman" w:hAnsi="Times New Roman"/>
          <w:b/>
          <w:i w:val="0"/>
          <w:sz w:val="22"/>
        </w:rPr>
        <w:t>Texto completo.</w:t>
      </w:r>
      <w:r>
        <w:rPr>
          <w:rFonts w:ascii="Times New Roman" w:hAnsi="Times New Roman"/>
          <w:b w:val="0"/>
          <w:i w:val="0"/>
          <w:sz w:val="22"/>
        </w:rPr>
        <w:t xml:space="preserve"> El criterio dejó fuera 7 de los 9 estudios clasificados como comparativos según la pre-extracción del modelo:</w:t>
      </w:r>
    </w:p>
    <w:p>
      <w:pPr>
        <w:pStyle w:val="ListBullet2"/>
      </w:pPr>
      <w:r>
        <w:rPr>
          <w:rFonts w:ascii="Times New Roman" w:hAnsi="Times New Roman"/>
          <w:b w:val="0"/>
          <w:i w:val="0"/>
          <w:sz w:val="22"/>
        </w:rPr>
        <w:t xml:space="preserve">cinco eran artículos publicados cuyo texto no se obtuvo: EST-029, EST-157 y EST-167; EST-118 (Leitner et al., </w:t>
      </w:r>
      <w:r>
        <w:rPr>
          <w:rFonts w:ascii="Times New Roman" w:hAnsi="Times New Roman"/>
          <w:b w:val="0"/>
          <w:i/>
          <w:sz w:val="22"/>
        </w:rPr>
        <w:t>Lancet Infect Dis</w:t>
      </w:r>
      <w:r>
        <w:rPr>
          <w:rFonts w:ascii="Times New Roman" w:hAnsi="Times New Roman"/>
          <w:b w:val="0"/>
          <w:i w:val="0"/>
          <w:sz w:val="22"/>
        </w:rPr>
        <w:t xml:space="preserve"> 2021, control positivo), del que solo se localizó la versión enviada, tras una barrera de acceso automatizado; y EST-173, cuyo idioma no pudo verificarse sin el texto;</w:t>
      </w:r>
    </w:p>
    <w:p>
      <w:pPr>
        <w:pStyle w:val="ListBullet2"/>
      </w:pPr>
      <w:r>
        <w:rPr>
          <w:rFonts w:ascii="Times New Roman" w:hAnsi="Times New Roman"/>
          <w:b w:val="0"/>
          <w:i w:val="0"/>
          <w:sz w:val="22"/>
        </w:rPr>
        <w:t>los otros dos (EST-078 y EST-188) solo existen como resúmenes de congreso.</w:t>
      </w:r>
    </w:p>
    <w:p>
      <w:pPr>
        <w:pStyle w:val="ListBullet"/>
      </w:pPr>
      <w:r>
        <w:rPr>
          <w:rFonts w:ascii="Times New Roman" w:hAnsi="Times New Roman"/>
          <w:b/>
          <w:i w:val="0"/>
          <w:sz w:val="22"/>
        </w:rPr>
        <w:t>Metaanálisis exploratorio de julio.</w:t>
      </w:r>
      <w:r>
        <w:rPr>
          <w:rFonts w:ascii="Times New Roman" w:hAnsi="Times New Roman"/>
          <w:b w:val="0"/>
          <w:i w:val="0"/>
          <w:sz w:val="22"/>
        </w:rPr>
        <w:t xml:space="preserve"> Separar la colonización crónica de vía aérea dejaba sin heterogeneidad la erradicación del resto de sitios (τ² = 0). De ahí sale la regla correspondiente del anexo B.</w:t>
      </w:r>
    </w:p>
    <w:p>
      <w:pPr>
        <w:jc w:val="both"/>
      </w:pPr>
      <w:r>
        <w:rPr>
          <w:rFonts w:ascii="Times New Roman" w:hAnsi="Times New Roman"/>
          <w:b w:val="0"/>
          <w:i w:val="0"/>
          <w:sz w:val="22"/>
        </w:rPr>
        <w:t>Los autores esperan que la fase definitiva dé resultados del mismo orden.</w:t>
      </w:r>
    </w:p>
    <w:p>
      <w:pPr>
        <w:pStyle w:val="Heading3"/>
      </w:pPr>
      <w:r>
        <w:rPr>
          <w:rFonts w:ascii="Times New Roman" w:hAnsi="Times New Roman"/>
          <w:b w:val="0"/>
          <w:i w:val="0"/>
          <w:sz w:val="22"/>
        </w:rPr>
        <w:t>3.3 Criterios de este protocolo que difieren de aquellos con que empezó el piloto</w:t>
      </w:r>
    </w:p>
    <w:p>
      <w:pPr>
        <w:jc w:val="both"/>
      </w:pPr>
      <w:r>
        <w:rPr>
          <w:rFonts w:ascii="Times New Roman" w:hAnsi="Times New Roman"/>
          <w:b/>
          <w:i w:val="0"/>
          <w:sz w:val="22"/>
        </w:rPr>
        <w:t>Todos los criterios de este protocolo se redactaron después del piloto y conociendo su corpus.</w:t>
      </w:r>
      <w:r>
        <w:rPr>
          <w:rFonts w:ascii="Times New Roman" w:hAnsi="Times New Roman"/>
          <w:b w:val="0"/>
          <w:i w:val="0"/>
          <w:sz w:val="22"/>
        </w:rPr>
        <w:t xml:space="preserve"> La tabla enumera los que difieren del criterio con que el piloto empezó, con la fecha en que cambió en el piloto, cuando cambió allí.</w:t>
      </w:r>
    </w:p>
    <w:p>
      <w:pPr>
        <w:jc w:val="both"/>
      </w:pPr>
      <w:r>
        <w:rPr>
          <w:rFonts w:ascii="Times New Roman" w:hAnsi="Times New Roman"/>
          <w:b w:val="0"/>
          <w:i w:val="0"/>
          <w:sz w:val="22"/>
        </w:rPr>
        <w:t>| Criterio | Al empezar el piloto | En este protocolo | Origen |</w:t>
      </w:r>
    </w:p>
    <w:p>
      <w:pPr>
        <w:jc w:val="both"/>
      </w:pPr>
      <w:r>
        <w:rPr>
          <w:rFonts w:ascii="Times New Roman" w:hAnsi="Times New Roman"/>
          <w:b w:val="0"/>
          <w:i w:val="0"/>
          <w:sz w:val="22"/>
        </w:rPr>
        <w:t>|---|---|---|---|</w:t>
      </w:r>
    </w:p>
    <w:p>
      <w:pPr>
        <w:jc w:val="both"/>
      </w:pPr>
      <w:r>
        <w:rPr>
          <w:rFonts w:ascii="Times New Roman" w:hAnsi="Times New Roman"/>
          <w:b w:val="0"/>
          <w:i w:val="0"/>
          <w:sz w:val="22"/>
        </w:rPr>
        <w:t>| Pregunta y objetivos | eficacia, con metaanálisis | completitud del reporte y viabilidad de la síntesis (sección 7) | metaanálisis aparcado y pregunta reformulada el 10-ago-2026; renombrada el 14-sep-2026 |</w:t>
      </w:r>
    </w:p>
    <w:p>
      <w:pPr>
        <w:jc w:val="both"/>
      </w:pPr>
      <w:r>
        <w:rPr>
          <w:rFonts w:ascii="Times New Roman" w:hAnsi="Times New Roman"/>
          <w:b w:val="0"/>
          <w:i w:val="0"/>
          <w:sz w:val="22"/>
        </w:rPr>
        <w:t>| Unidad de inclusión y resúmenes de congreso | por informe; los resúmenes de congreso, elegibles | por estudio; los resúmenes de congreso, excluidos (NOTXT) | unidad por estudio y resúmenes elegibles decididos el 5-ago-2026, con el cribado en curso; la exclusión de los resúmenes revierte esa decisión |</w:t>
      </w:r>
    </w:p>
    <w:p>
      <w:pPr>
        <w:jc w:val="both"/>
      </w:pPr>
      <w:r>
        <w:rPr>
          <w:rFonts w:ascii="Times New Roman" w:hAnsi="Times New Roman"/>
          <w:b w:val="0"/>
          <w:i w:val="0"/>
          <w:sz w:val="22"/>
        </w:rPr>
        <w:t>| Reglas de extracción | definiciones de cada estudio, salvo DTR (definición propia según Kadri 2018, desde el 28-jul-2026) | reglas propias de erradicación, éxito clínico, clase, DTR y colonización de vía aérea (anexo B) | DTR corregida el 30-jul-2026 sobre los datos del metaanálisis exploratorio y registrada el 13-ago, con una ayuda del formulario que listaba solo dos agentes posteriores a 2018; la excepción de vía aérea, motivada por ese metaanálisis, escrita el 11-ago y cerrada el 12-ago; erradicación y éxito clínico, 11 y 12-ago, con la extracción piloto a la vista; la regla del 12-ago quedó como propuesta que N.T. no ratificó; las reglas de clase de resistencia, de las nueve decisiones firmadas el 1-oct-2026 |</w:t>
      </w:r>
    </w:p>
    <w:p>
      <w:pPr>
        <w:jc w:val="both"/>
      </w:pPr>
      <w:r>
        <w:rPr>
          <w:rFonts w:ascii="Times New Roman" w:hAnsi="Times New Roman"/>
          <w:b w:val="0"/>
          <w:i w:val="0"/>
          <w:sz w:val="22"/>
        </w:rPr>
        <w:t>| Idioma | sin restricción | inglés o español, comprobado sobre el cuerpo del artículo y sin traducción automática (IDI) | restricción adoptada el 11-ago-2026, con el cribado concluido; comprobación sobre el cuerpo el 1-sep y el 6-oct |</w:t>
      </w:r>
    </w:p>
    <w:p>
      <w:pPr>
        <w:jc w:val="both"/>
      </w:pPr>
      <w:r>
        <w:rPr>
          <w:rFonts w:ascii="Times New Roman" w:hAnsi="Times New Roman"/>
          <w:b w:val="0"/>
          <w:i w:val="0"/>
          <w:sz w:val="22"/>
        </w:rPr>
        <w:t>| Texto completo | no se exigía; las fichas de registro y los resúmenes de congreso eran estudios del corpus | se exige el texto completo de un artículo publicado (NOTXT) | 2-sep-2026 para un estudio (NOREC) y 6-oct-2026 para todos (NOPDF), con la extracción terminada |</w:t>
      </w:r>
    </w:p>
    <w:p>
      <w:pPr>
        <w:jc w:val="both"/>
      </w:pPr>
      <w:r>
        <w:rPr>
          <w:rFonts w:ascii="Times New Roman" w:hAnsi="Times New Roman"/>
          <w:b w:val="0"/>
          <w:i w:val="0"/>
          <w:sz w:val="22"/>
        </w:rPr>
        <w:t>| NOREC, NOORG y NOPDF | no existían | sustituidos por NOTXT | 2-sep, 14-sep y 6-oct-2026 |</w:t>
      </w:r>
    </w:p>
    <w:p>
      <w:pPr>
        <w:jc w:val="both"/>
      </w:pPr>
      <w:r>
        <w:rPr>
          <w:rFonts w:ascii="Times New Roman" w:hAnsi="Times New Roman"/>
          <w:b w:val="0"/>
          <w:i w:val="0"/>
          <w:sz w:val="22"/>
        </w:rPr>
        <w:t>| PRO e INT | el criterio existía, sin código propio | códigos propios | 1-sep-2026; no cambiaron el criterio |</w:t>
      </w:r>
    </w:p>
    <w:p>
      <w:pPr>
        <w:jc w:val="both"/>
      </w:pPr>
      <w:r>
        <w:rPr>
          <w:rFonts w:ascii="Times New Roman" w:hAnsi="Times New Roman"/>
          <w:b w:val="0"/>
          <w:i w:val="0"/>
          <w:sz w:val="22"/>
        </w:rPr>
        <w:t>| Población y resistencia | infección «clasificada MDR, XDR o PDR, o descrita en términos que impliquen esas categorías» | la elegibilidad no exige clase de resistencia; los estudios por debajo del umbral se incluyen y se declaran | el piloto mantuvo por firma 6 estudios por debajo del umbral (22-sep, 1-oct y 3-oct-2026) |</w:t>
      </w:r>
    </w:p>
    <w:p>
      <w:pPr>
        <w:jc w:val="both"/>
      </w:pPr>
      <w:r>
        <w:rPr>
          <w:rFonts w:ascii="Times New Roman" w:hAnsi="Times New Roman"/>
          <w:b w:val="0"/>
          <w:i w:val="0"/>
          <w:sz w:val="22"/>
        </w:rPr>
        <w:t xml:space="preserve">| Fago dirigido contra </w:t>
      </w:r>
      <w:r>
        <w:rPr>
          <w:rFonts w:ascii="Times New Roman" w:hAnsi="Times New Roman"/>
          <w:b w:val="0"/>
          <w:i/>
          <w:sz w:val="22"/>
        </w:rPr>
        <w:t>P. aeruginosa</w:t>
      </w:r>
      <w:r>
        <w:rPr>
          <w:rFonts w:ascii="Times New Roman" w:hAnsi="Times New Roman"/>
          <w:b w:val="0"/>
          <w:i w:val="0"/>
          <w:sz w:val="22"/>
        </w:rPr>
        <w:t xml:space="preserve"> (sección 8.4) | no se exigía de forma explícita | se exige (DIA) | regla nueva y </w:t>
      </w:r>
      <w:r>
        <w:rPr>
          <w:rFonts w:ascii="Times New Roman" w:hAnsi="Times New Roman"/>
          <w:b/>
          <w:i w:val="0"/>
          <w:sz w:val="22"/>
        </w:rPr>
        <w:t>contraria a lo firmado en el piloto</w:t>
      </w:r>
      <w:r>
        <w:rPr>
          <w:rFonts w:ascii="Times New Roman" w:hAnsi="Times New Roman"/>
          <w:b w:val="0"/>
          <w:i w:val="0"/>
          <w:sz w:val="22"/>
        </w:rPr>
        <w:t xml:space="preserve">, que el 1-oct-2026 mantuvo 4 estudios firmados como «fago no diana» (EST-051, EST-096, EST-129, EST-135; en EST-096 la etiqueta no se sostiene: la paciente 10 recibió Ps1N/734 contra </w:t>
      </w:r>
      <w:r>
        <w:rPr>
          <w:rFonts w:ascii="Times New Roman" w:hAnsi="Times New Roman"/>
          <w:b w:val="0"/>
          <w:i/>
          <w:sz w:val="22"/>
        </w:rPr>
        <w:t>P. aeruginosa</w:t>
      </w:r>
      <w:r>
        <w:rPr>
          <w:rFonts w:ascii="Times New Roman" w:hAnsi="Times New Roman"/>
          <w:b w:val="0"/>
          <w:i w:val="0"/>
          <w:sz w:val="22"/>
        </w:rPr>
        <w:t xml:space="preserve">, y lo contradictorio es si la bacteria seguía presente) y, contra su propio criterio de población (ORG), 2 en que ningún paciente propio tenía </w:t>
      </w:r>
      <w:r>
        <w:rPr>
          <w:rFonts w:ascii="Times New Roman" w:hAnsi="Times New Roman"/>
          <w:b w:val="0"/>
          <w:i/>
          <w:sz w:val="22"/>
        </w:rPr>
        <w:t>P. aeruginosa</w:t>
      </w:r>
      <w:r>
        <w:rPr>
          <w:rFonts w:ascii="Times New Roman" w:hAnsi="Times New Roman"/>
          <w:b w:val="0"/>
          <w:i w:val="0"/>
          <w:sz w:val="22"/>
        </w:rPr>
        <w:t xml:space="preserve"> (EST-152 y EST-170, que solo citan los casos de EST-049 y EST-106) |</w:t>
      </w:r>
    </w:p>
    <w:p>
      <w:pPr>
        <w:jc w:val="both"/>
      </w:pPr>
      <w:r>
        <w:rPr>
          <w:rFonts w:ascii="Times New Roman" w:hAnsi="Times New Roman"/>
          <w:b w:val="0"/>
          <w:i w:val="0"/>
          <w:sz w:val="22"/>
        </w:rPr>
        <w:t>| Profilaxis y desenlaces | sin código | códigos PRF y DES | nuevos |</w:t>
      </w:r>
    </w:p>
    <w:p>
      <w:pPr>
        <w:jc w:val="both"/>
      </w:pPr>
      <w:r>
        <w:rPr>
          <w:rFonts w:ascii="Times New Roman" w:hAnsi="Times New Roman"/>
          <w:b w:val="0"/>
          <w:i w:val="0"/>
          <w:sz w:val="22"/>
        </w:rPr>
        <w:t>| Ventana de años | se aplicó solo en la consulta de PubMed, Scopus y CENTRAL; entraron 495 registros anteriores a 2016 | regla FEC en la etapa 1 para los registros bibliográficos | nueva |</w:t>
      </w:r>
    </w:p>
    <w:p>
      <w:pPr>
        <w:jc w:val="both"/>
      </w:pPr>
      <w:r>
        <w:rPr>
          <w:rFonts w:ascii="Times New Roman" w:hAnsi="Times New Roman"/>
          <w:b w:val="0"/>
          <w:i w:val="0"/>
          <w:sz w:val="22"/>
        </w:rPr>
        <w:t xml:space="preserve">| Tipos documentales excluidos en la etapa 1 | incluían editoriales, cartas, notas y </w:t>
      </w:r>
      <w:r>
        <w:rPr>
          <w:rFonts w:ascii="Times New Roman" w:hAnsi="Times New Roman"/>
          <w:b w:val="0"/>
          <w:i/>
          <w:sz w:val="22"/>
        </w:rPr>
        <w:t>short surveys</w:t>
      </w:r>
      <w:r>
        <w:rPr>
          <w:rFonts w:ascii="Times New Roman" w:hAnsi="Times New Roman"/>
          <w:b w:val="0"/>
          <w:i w:val="0"/>
          <w:sz w:val="22"/>
        </w:rPr>
        <w:t xml:space="preserve"> (554 registros) | solo erratas, retractaciones, noticias, biografías y material para pacientes | nueva; evita excluir sin leer cartas con casos |</w:t>
      </w:r>
    </w:p>
    <w:p>
      <w:pPr>
        <w:jc w:val="both"/>
      </w:pPr>
      <w:r>
        <w:rPr>
          <w:rFonts w:ascii="Times New Roman" w:hAnsi="Times New Roman"/>
          <w:b w:val="0"/>
          <w:i w:val="0"/>
          <w:sz w:val="22"/>
        </w:rPr>
        <w:t>| IDI en título o resumen | se aplicó en el cribado de resúmenes (35) | solo a texto completo | nueva |</w:t>
      </w:r>
    </w:p>
    <w:p>
      <w:pPr>
        <w:jc w:val="both"/>
      </w:pPr>
      <w:r>
        <w:rPr>
          <w:rFonts w:ascii="Times New Roman" w:hAnsi="Times New Roman"/>
          <w:b w:val="0"/>
          <w:i w:val="0"/>
          <w:sz w:val="22"/>
        </w:rPr>
        <w:t>| Vocabulario de las etapas 2 y 3 | texto libre el primer día (4-ago-2026); seis códigos desde el 5-ago, redactados por el modelo a partir de esos textos | siete (se añade PRF), fijados antes de empezar | nueva; en el piloto el vocabulario no estaba fijado antes del cribado |</w:t>
      </w:r>
    </w:p>
    <w:p>
      <w:pPr>
        <w:jc w:val="both"/>
      </w:pPr>
      <w:r>
        <w:rPr>
          <w:rFonts w:ascii="Times New Roman" w:hAnsi="Times New Roman"/>
          <w:b w:val="0"/>
          <w:i w:val="0"/>
          <w:sz w:val="22"/>
        </w:rPr>
        <w:t>| Riesgo de sesgo | estudios con diseño comparativo, por etiqueta de diseño | estudios con grupo concurrente sin fago (sección 15) | en el piloto, 7 de 9 evaluados no tenían grupo concurrente sin fago, y 6 de 9 no tenían ningún grupo de comparación |</w:t>
      </w:r>
    </w:p>
    <w:p>
      <w:pPr>
        <w:jc w:val="both"/>
      </w:pPr>
      <w:r>
        <w:rPr>
          <w:rFonts w:ascii="Times New Roman" w:hAnsi="Times New Roman"/>
          <w:b w:val="0"/>
          <w:i w:val="0"/>
          <w:sz w:val="22"/>
        </w:rPr>
        <w:t>| Requisitos de agrupación y umbral (sección 16.3) | no fijados | fijados aquí | los requisitos 3 a 5 se añadieron en el piloto el 1-sep-2026 con reglas aproximadas; el umbral se fija conociendo el recuento de la sección 3.2 |</w:t>
      </w:r>
    </w:p>
    <w:p>
      <w:pPr>
        <w:jc w:val="both"/>
      </w:pPr>
      <w:r>
        <w:rPr>
          <w:rFonts w:ascii="Times New Roman" w:hAnsi="Times New Roman"/>
          <w:b w:val="0"/>
          <w:i w:val="0"/>
          <w:sz w:val="22"/>
        </w:rPr>
        <w:t>| Recribado ciego | un revisor (D.V.), sin los criterios a la vista; incluyó 6 de 350 y él mismo los reclasificó como excluidos | los dos autores, de forma independiente, con la sección 8 a la vista y consenso entre ellos | nuevo |</w:t>
      </w:r>
    </w:p>
    <w:p>
      <w:pPr>
        <w:jc w:val="both"/>
      </w:pPr>
      <w:r>
        <w:rPr>
          <w:rFonts w:ascii="Times New Roman" w:hAnsi="Times New Roman"/>
          <w:b w:val="0"/>
          <w:i w:val="0"/>
          <w:sz w:val="22"/>
        </w:rPr>
        <w:t>| Formulario de extracción | 21 variables de datos durante toda la extracción; el denominador y la persistencia de la erradicación se añadieron al esquema el 12-ago-2026, pero no llegaron a los cuadernos | revisado (sección 14.2) y pilotado antes de extraer | nuevo; no consta un piloteo documentado del formulario del piloto |</w:t>
      </w:r>
    </w:p>
    <w:p>
      <w:pPr>
        <w:pStyle w:val="Heading3"/>
      </w:pPr>
      <w:r>
        <w:rPr>
          <w:rFonts w:ascii="Times New Roman" w:hAnsi="Times New Roman"/>
          <w:b w:val="0"/>
          <w:i w:val="0"/>
          <w:sz w:val="22"/>
        </w:rPr>
        <w:t>3.4 Qué se reutiliza y qué no</w:t>
      </w:r>
    </w:p>
    <w:p>
      <w:pPr>
        <w:jc w:val="both"/>
      </w:pPr>
      <w:r>
        <w:rPr>
          <w:rFonts w:ascii="Times New Roman" w:hAnsi="Times New Roman"/>
          <w:b/>
          <w:i w:val="0"/>
          <w:sz w:val="22"/>
        </w:rPr>
        <w:t>Se reutiliza, con los cambios de la sección 3.3:</w:t>
      </w:r>
    </w:p>
    <w:p>
      <w:pPr>
        <w:pStyle w:val="ListBullet"/>
      </w:pPr>
      <w:r>
        <w:rPr>
          <w:rFonts w:ascii="Times New Roman" w:hAnsi="Times New Roman"/>
          <w:b w:val="0"/>
          <w:i w:val="0"/>
          <w:sz w:val="22"/>
        </w:rPr>
        <w:t>las ecuaciones de búsqueda (anexo A);</w:t>
      </w:r>
    </w:p>
    <w:p>
      <w:pPr>
        <w:pStyle w:val="ListBullet"/>
      </w:pPr>
      <w:r>
        <w:rPr>
          <w:rFonts w:ascii="Times New Roman" w:hAnsi="Times New Roman"/>
          <w:b w:val="0"/>
          <w:i w:val="0"/>
          <w:sz w:val="22"/>
        </w:rPr>
        <w:t>el conjunto de 42 estudios de control positivo (sección 12.5 y anexo D):</w:t>
      </w:r>
    </w:p>
    <w:p>
      <w:pPr>
        <w:pStyle w:val="ListBullet2"/>
      </w:pPr>
      <w:r>
        <w:rPr>
          <w:rFonts w:ascii="Times New Roman" w:hAnsi="Times New Roman"/>
          <w:b w:val="0"/>
          <w:i w:val="0"/>
          <w:sz w:val="22"/>
        </w:rPr>
        <w:t>se fijó el 29 de julio de 2026 (commit 20574ce, 123 identificadores), antes del cribado piloto;</w:t>
      </w:r>
    </w:p>
    <w:p>
      <w:pPr>
        <w:pStyle w:val="ListBullet2"/>
      </w:pPr>
      <w:r>
        <w:rPr>
          <w:rFonts w:ascii="Times New Roman" w:hAnsi="Times New Roman"/>
          <w:b w:val="0"/>
          <w:i w:val="0"/>
          <w:sz w:val="22"/>
        </w:rPr>
        <w:t>sus identificadores, no los estudios, se corrigieron en la versión generada el 5 de agosto y registrada el 10 de agosto (commit 4258270, 114 identificadores), con el cribado piloto en curso, incluidos dos PMID que usa la auditoría;</w:t>
      </w:r>
    </w:p>
    <w:p>
      <w:pPr>
        <w:pStyle w:val="ListBullet2"/>
      </w:pPr>
      <w:r>
        <w:rPr>
          <w:rFonts w:ascii="Times New Roman" w:hAnsi="Times New Roman"/>
          <w:b w:val="0"/>
          <w:i w:val="0"/>
          <w:sz w:val="22"/>
        </w:rPr>
        <w:t>procede del metaanálisis exploratorio de julio de 2026, primera etapa del piloto, que se hizo con asistencia de modelos de lenguaje, y las ecuaciones se diseñaron para recuperarlo, así que no prueba la sensibilidad de la búsqueda: solo acota lo que pierde la selección;</w:t>
      </w:r>
    </w:p>
    <w:p>
      <w:pPr>
        <w:pStyle w:val="ListBullet"/>
      </w:pPr>
      <w:r>
        <w:rPr>
          <w:rFonts w:ascii="Times New Roman" w:hAnsi="Times New Roman"/>
          <w:b w:val="0"/>
          <w:i w:val="0"/>
          <w:sz w:val="22"/>
        </w:rPr>
        <w:t>el código del canal de búsqueda, deduplicación, etapa 1, agrupación y cálculo de cifras.</w:t>
      </w:r>
    </w:p>
    <w:p>
      <w:pPr>
        <w:jc w:val="both"/>
      </w:pPr>
      <w:r>
        <w:rPr>
          <w:rFonts w:ascii="Times New Roman" w:hAnsi="Times New Roman"/>
          <w:b/>
          <w:i w:val="0"/>
          <w:sz w:val="22"/>
        </w:rPr>
        <w:t>No se reutiliza ninguna decisión del piloto:</w:t>
      </w:r>
      <w:r>
        <w:rPr>
          <w:rFonts w:ascii="Times New Roman" w:hAnsi="Times New Roman"/>
          <w:b w:val="0"/>
          <w:i w:val="0"/>
          <w:sz w:val="22"/>
        </w:rPr>
        <w:t xml:space="preserve"> ni de cribado, ni de agrupación de informes en estudios, ni de elegibilidad, ni de extracción, ni de riesgo de sesgo. En consecuencia:</w:t>
      </w:r>
    </w:p>
    <w:p>
      <w:pPr>
        <w:pStyle w:val="ListBullet"/>
      </w:pPr>
      <w:r>
        <w:rPr>
          <w:rFonts w:ascii="Times New Roman" w:hAnsi="Times New Roman"/>
          <w:b w:val="0"/>
          <w:i w:val="0"/>
          <w:sz w:val="22"/>
        </w:rPr>
        <w:t xml:space="preserve">No se ejecuta en la fase definitiva ningún guion que aplique decisiones o datos del piloto: los </w:t>
      </w:r>
      <w:r>
        <w:rPr>
          <w:rFonts w:ascii="Consolas" w:hAnsi="Consolas"/>
          <w:b w:val="0"/>
          <w:i w:val="0"/>
          <w:sz w:val="22"/>
        </w:rPr>
        <w:t>ingest_*.py</w:t>
      </w:r>
      <w:r>
        <w:rPr>
          <w:rFonts w:ascii="Times New Roman" w:hAnsi="Times New Roman"/>
          <w:b w:val="0"/>
          <w:i w:val="0"/>
          <w:sz w:val="22"/>
        </w:rPr>
        <w:t xml:space="preserve">, los </w:t>
      </w:r>
      <w:r>
        <w:rPr>
          <w:rFonts w:ascii="Consolas" w:hAnsi="Consolas"/>
          <w:b w:val="0"/>
          <w:i w:val="0"/>
          <w:sz w:val="22"/>
        </w:rPr>
        <w:t>add_*.py</w:t>
      </w:r>
      <w:r>
        <w:rPr>
          <w:rFonts w:ascii="Times New Roman" w:hAnsi="Times New Roman"/>
          <w:b w:val="0"/>
          <w:i w:val="0"/>
          <w:sz w:val="22"/>
        </w:rPr>
        <w:t xml:space="preserve">, </w:t>
      </w:r>
      <w:r>
        <w:rPr>
          <w:rFonts w:ascii="Consolas" w:hAnsi="Consolas"/>
          <w:b w:val="0"/>
          <w:i w:val="0"/>
          <w:sz w:val="22"/>
        </w:rPr>
        <w:t>correcciones_tras_texto_completo.csv</w:t>
      </w:r>
      <w:r>
        <w:rPr>
          <w:rFonts w:ascii="Times New Roman" w:hAnsi="Times New Roman"/>
          <w:b w:val="0"/>
          <w:i w:val="0"/>
          <w:sz w:val="22"/>
        </w:rPr>
        <w:t xml:space="preserve"> y los cuadernos de firma.</w:t>
      </w:r>
    </w:p>
    <w:p>
      <w:pPr>
        <w:pStyle w:val="ListBullet"/>
      </w:pPr>
      <w:r>
        <w:rPr>
          <w:rFonts w:ascii="Times New Roman" w:hAnsi="Times New Roman"/>
          <w:b w:val="0"/>
          <w:i w:val="0"/>
          <w:sz w:val="22"/>
        </w:rPr>
        <w:t xml:space="preserve">Los estudios se numeran en un espacio propio (DEF-NNN), sin leer el </w:t>
      </w:r>
      <w:r>
        <w:rPr>
          <w:rFonts w:ascii="Consolas" w:hAnsi="Consolas"/>
          <w:b w:val="0"/>
          <w:i w:val="0"/>
          <w:sz w:val="22"/>
        </w:rPr>
        <w:t>study_groups.csv</w:t>
      </w:r>
      <w:r>
        <w:rPr>
          <w:rFonts w:ascii="Times New Roman" w:hAnsi="Times New Roman"/>
          <w:b w:val="0"/>
          <w:i w:val="0"/>
          <w:sz w:val="22"/>
        </w:rPr>
        <w:t xml:space="preserve"> ni el </w:t>
      </w:r>
      <w:r>
        <w:rPr>
          <w:rFonts w:ascii="Consolas" w:hAnsi="Consolas"/>
          <w:b w:val="0"/>
          <w:i w:val="0"/>
          <w:sz w:val="22"/>
        </w:rPr>
        <w:t>fulltext_identifiers.csv</w:t>
      </w:r>
      <w:r>
        <w:rPr>
          <w:rFonts w:ascii="Times New Roman" w:hAnsi="Times New Roman"/>
          <w:b w:val="0"/>
          <w:i w:val="0"/>
          <w:sz w:val="22"/>
        </w:rPr>
        <w:t xml:space="preserve"> del piloto.</w:t>
      </w:r>
    </w:p>
    <w:p>
      <w:pPr>
        <w:pStyle w:val="ListBullet"/>
      </w:pPr>
      <w:r>
        <w:rPr>
          <w:rFonts w:ascii="Times New Roman" w:hAnsi="Times New Roman"/>
          <w:b w:val="0"/>
          <w:i w:val="0"/>
          <w:sz w:val="22"/>
        </w:rPr>
        <w:t xml:space="preserve">Los ficheros del piloto se trasladan a </w:t>
      </w:r>
      <w:r>
        <w:rPr>
          <w:rFonts w:ascii="Consolas" w:hAnsi="Consolas"/>
          <w:b w:val="0"/>
          <w:i w:val="0"/>
          <w:sz w:val="22"/>
        </w:rPr>
        <w:t>revision_sistematica/piloto/</w:t>
      </w:r>
      <w:r>
        <w:rPr>
          <w:rFonts w:ascii="Times New Roman" w:hAnsi="Times New Roman"/>
          <w:b w:val="0"/>
          <w:i w:val="0"/>
          <w:sz w:val="22"/>
        </w:rPr>
        <w:t xml:space="preserve"> antes de la búsqueda.</w:t>
      </w:r>
    </w:p>
    <w:p>
      <w:pPr>
        <w:pStyle w:val="ListBullet"/>
      </w:pPr>
      <w:r>
        <w:rPr>
          <w:rFonts w:ascii="Times New Roman" w:hAnsi="Times New Roman"/>
          <w:b/>
          <w:i w:val="0"/>
          <w:sz w:val="22"/>
        </w:rPr>
        <w:t>Antes del depósito</w:t>
      </w:r>
      <w:r>
        <w:rPr>
          <w:rFonts w:ascii="Times New Roman" w:hAnsi="Times New Roman"/>
          <w:b w:val="0"/>
          <w:i w:val="0"/>
          <w:sz w:val="22"/>
        </w:rPr>
        <w:t xml:space="preserve"> se adaptan y se fechan los guiones que leen ficheros del piloto:</w:t>
      </w:r>
    </w:p>
    <w:p>
      <w:pPr>
        <w:pStyle w:val="ListBullet2"/>
      </w:pPr>
      <w:r>
        <w:rPr>
          <w:rFonts w:ascii="Consolas" w:hAnsi="Consolas"/>
          <w:b w:val="0"/>
          <w:i w:val="0"/>
          <w:sz w:val="22"/>
        </w:rPr>
        <w:t>group_reports_into_studies.py</w:t>
      </w:r>
      <w:r>
        <w:rPr>
          <w:rFonts w:ascii="Times New Roman" w:hAnsi="Times New Roman"/>
          <w:b w:val="0"/>
          <w:i w:val="0"/>
          <w:sz w:val="22"/>
        </w:rPr>
        <w:t xml:space="preserve">: numeración DEF-NNN y un </w:t>
      </w:r>
      <w:r>
        <w:rPr>
          <w:rFonts w:ascii="Consolas" w:hAnsi="Consolas"/>
          <w:b w:val="0"/>
          <w:i w:val="0"/>
          <w:sz w:val="22"/>
        </w:rPr>
        <w:t>fulltext_identifiers.csv</w:t>
      </w:r>
      <w:r>
        <w:rPr>
          <w:rFonts w:ascii="Times New Roman" w:hAnsi="Times New Roman"/>
          <w:b w:val="0"/>
          <w:i w:val="0"/>
          <w:sz w:val="22"/>
        </w:rPr>
        <w:t xml:space="preserve"> propio, vacío;</w:t>
      </w:r>
    </w:p>
    <w:p>
      <w:pPr>
        <w:pStyle w:val="ListBullet2"/>
      </w:pPr>
      <w:r>
        <w:rPr>
          <w:rFonts w:ascii="Consolas" w:hAnsi="Consolas"/>
          <w:b w:val="0"/>
          <w:i w:val="0"/>
          <w:sz w:val="22"/>
        </w:rPr>
        <w:t>comprueba_idioma_cuerpo.py</w:t>
      </w:r>
      <w:r>
        <w:rPr>
          <w:rFonts w:ascii="Times New Roman" w:hAnsi="Times New Roman"/>
          <w:b w:val="0"/>
          <w:i w:val="0"/>
          <w:sz w:val="22"/>
        </w:rPr>
        <w:t>: corpus definitivo y lectura de la copia HTML;</w:t>
      </w:r>
    </w:p>
    <w:p>
      <w:pPr>
        <w:pStyle w:val="ListBullet2"/>
      </w:pPr>
      <w:r>
        <w:rPr>
          <w:rFonts w:ascii="Consolas" w:hAnsi="Consolas"/>
          <w:b w:val="0"/>
          <w:i w:val="0"/>
          <w:sz w:val="22"/>
        </w:rPr>
        <w:t>build_rayyan_validation_sample.py</w:t>
      </w:r>
      <w:r>
        <w:rPr>
          <w:rFonts w:ascii="Times New Roman" w:hAnsi="Times New Roman"/>
          <w:b w:val="0"/>
          <w:i w:val="0"/>
          <w:sz w:val="22"/>
        </w:rPr>
        <w:t>: semilla 20261008 y decisiones de la fase definitiva;</w:t>
      </w:r>
    </w:p>
    <w:p>
      <w:pPr>
        <w:pStyle w:val="ListBullet2"/>
      </w:pPr>
      <w:r>
        <w:rPr>
          <w:rFonts w:ascii="Times New Roman" w:hAnsi="Times New Roman"/>
          <w:b w:val="0"/>
          <w:i w:val="0"/>
          <w:sz w:val="22"/>
        </w:rPr>
        <w:t xml:space="preserve">cualquier otro guion reutilizado que lea </w:t>
      </w:r>
      <w:r>
        <w:rPr>
          <w:rFonts w:ascii="Consolas" w:hAnsi="Consolas"/>
          <w:b w:val="0"/>
          <w:i w:val="0"/>
          <w:sz w:val="22"/>
        </w:rPr>
        <w:t>cribado/</w:t>
      </w:r>
      <w:r>
        <w:rPr>
          <w:rFonts w:ascii="Times New Roman" w:hAnsi="Times New Roman"/>
          <w:b w:val="0"/>
          <w:i w:val="0"/>
          <w:sz w:val="22"/>
        </w:rPr>
        <w:t xml:space="preserve">, </w:t>
      </w:r>
      <w:r>
        <w:rPr>
          <w:rFonts w:ascii="Consolas" w:hAnsi="Consolas"/>
          <w:b w:val="0"/>
          <w:i w:val="0"/>
          <w:sz w:val="22"/>
        </w:rPr>
        <w:t>textos_completos/</w:t>
      </w:r>
      <w:r>
        <w:rPr>
          <w:rFonts w:ascii="Times New Roman" w:hAnsi="Times New Roman"/>
          <w:b w:val="0"/>
          <w:i w:val="0"/>
          <w:sz w:val="22"/>
        </w:rPr>
        <w:t xml:space="preserve"> o </w:t>
      </w:r>
      <w:r>
        <w:rPr>
          <w:rFonts w:ascii="Consolas" w:hAnsi="Consolas"/>
          <w:b w:val="0"/>
          <w:i w:val="0"/>
          <w:sz w:val="22"/>
        </w:rPr>
        <w:t>extraccion/</w:t>
      </w:r>
      <w:r>
        <w:rPr>
          <w:rFonts w:ascii="Times New Roman" w:hAnsi="Times New Roman"/>
          <w:b w:val="0"/>
          <w:i w:val="0"/>
          <w:sz w:val="22"/>
        </w:rPr>
        <w:t>.</w:t>
      </w:r>
    </w:p>
    <w:p>
      <w:pPr>
        <w:pStyle w:val="ListBullet"/>
      </w:pPr>
      <w:r>
        <w:rPr>
          <w:rFonts w:ascii="Times New Roman" w:hAnsi="Times New Roman"/>
          <w:b w:val="0"/>
          <w:i w:val="0"/>
          <w:sz w:val="22"/>
        </w:rPr>
        <w:t>La lista de guiones reutilizados, con el identificador de su versión, se deposita con este protocolo.</w:t>
      </w:r>
    </w:p>
    <w:p>
      <w:pPr>
        <w:pStyle w:val="Heading3"/>
      </w:pPr>
      <w:r>
        <w:rPr>
          <w:rFonts w:ascii="Times New Roman" w:hAnsi="Times New Roman"/>
          <w:b w:val="0"/>
          <w:i w:val="0"/>
          <w:sz w:val="22"/>
        </w:rPr>
        <w:t>3.5 Los datos del piloto y la comparación</w:t>
      </w:r>
    </w:p>
    <w:p>
      <w:pPr>
        <w:jc w:val="both"/>
      </w:pPr>
      <w:r>
        <w:rPr>
          <w:rFonts w:ascii="Times New Roman" w:hAnsi="Times New Roman"/>
          <w:b w:val="0"/>
          <w:i w:val="0"/>
          <w:sz w:val="22"/>
        </w:rPr>
        <w:t>Los datos del piloto no se borran: se aportan como material suplementario del informe final, separados de los de la fase definitiva.</w:t>
      </w:r>
    </w:p>
    <w:p>
      <w:pPr>
        <w:jc w:val="both"/>
      </w:pPr>
      <w:r>
        <w:rPr>
          <w:rFonts w:ascii="Times New Roman" w:hAnsi="Times New Roman"/>
          <w:b/>
          <w:i w:val="0"/>
          <w:sz w:val="22"/>
        </w:rPr>
        <w:t>Cuándo se compara.</w:t>
      </w:r>
      <w:r>
        <w:rPr>
          <w:rFonts w:ascii="Times New Roman" w:hAnsi="Times New Roman"/>
          <w:b w:val="0"/>
          <w:i w:val="0"/>
          <w:sz w:val="22"/>
        </w:rPr>
        <w:t xml:space="preserve"> Solo después de cerrar la adjudicación definitiva. La tabla de correspondencia entre DEF-NNN y la numeración del piloto se construye en ese momento.</w:t>
      </w:r>
    </w:p>
    <w:p>
      <w:pPr>
        <w:jc w:val="both"/>
      </w:pPr>
      <w:r>
        <w:rPr>
          <w:rFonts w:ascii="Times New Roman" w:hAnsi="Times New Roman"/>
          <w:b/>
          <w:i w:val="0"/>
          <w:sz w:val="22"/>
        </w:rPr>
        <w:t>Qué se compara:</w:t>
      </w:r>
    </w:p>
    <w:p>
      <w:pPr>
        <w:pStyle w:val="ListBullet"/>
      </w:pPr>
      <w:r>
        <w:rPr>
          <w:rFonts w:ascii="Times New Roman" w:hAnsi="Times New Roman"/>
          <w:b w:val="0"/>
          <w:i w:val="0"/>
          <w:sz w:val="22"/>
        </w:rPr>
        <w:t>los estudios presentes en ambos corpus;</w:t>
      </w:r>
    </w:p>
    <w:p>
      <w:pPr>
        <w:pStyle w:val="ListBullet"/>
      </w:pPr>
      <w:r>
        <w:rPr>
          <w:rFonts w:ascii="Times New Roman" w:hAnsi="Times New Roman"/>
          <w:b w:val="0"/>
          <w:i w:val="0"/>
          <w:sz w:val="22"/>
        </w:rPr>
        <w:t>los presentes en uno solo, con el código o la decisión que lo explica;</w:t>
      </w:r>
    </w:p>
    <w:p>
      <w:pPr>
        <w:pStyle w:val="ListBullet"/>
      </w:pPr>
      <w:r>
        <w:rPr>
          <w:rFonts w:ascii="Times New Roman" w:hAnsi="Times New Roman"/>
          <w:b w:val="0"/>
          <w:i w:val="0"/>
          <w:sz w:val="22"/>
        </w:rPr>
        <w:t>en los presentes en ambos, el acuerdo campo a campo de la extracción.</w:t>
      </w:r>
    </w:p>
    <w:p>
      <w:pPr>
        <w:jc w:val="both"/>
      </w:pPr>
      <w:r>
        <w:rPr>
          <w:rFonts w:ascii="Times New Roman" w:hAnsi="Times New Roman"/>
          <w:b/>
          <w:i w:val="0"/>
          <w:sz w:val="22"/>
        </w:rPr>
        <w:t>Límite de la independencia: los autores.</w:t>
      </w:r>
      <w:r>
        <w:rPr>
          <w:rFonts w:ascii="Times New Roman" w:hAnsi="Times New Roman"/>
          <w:b w:val="0"/>
          <w:i w:val="0"/>
          <w:sz w:val="22"/>
        </w:rPr>
        <w:t xml:space="preserve"> Los dos extrajeron entre agosto y octubre de 2026 la mayor parte de los estudios que volverán a leer. No consultar los ficheros del piloto no los enmascara, y se declara como límite.</w:t>
      </w:r>
    </w:p>
    <w:p>
      <w:pPr>
        <w:jc w:val="both"/>
      </w:pPr>
      <w:r>
        <w:rPr>
          <w:rFonts w:ascii="Times New Roman" w:hAnsi="Times New Roman"/>
          <w:b/>
          <w:i w:val="0"/>
          <w:sz w:val="22"/>
        </w:rPr>
        <w:t>Límite de la independencia: el modelo.</w:t>
      </w:r>
      <w:r>
        <w:rPr>
          <w:rFonts w:ascii="Times New Roman" w:hAnsi="Times New Roman"/>
          <w:b w:val="0"/>
          <w:i w:val="0"/>
          <w:sz w:val="22"/>
        </w:rPr>
        <w:t xml:space="preserve"> Una sesión de Claude Code abierta en el repositorio carga sola el CLAUDE.md y la memoria del proyecto, que describen el corpus piloto. Por eso las decisiones de las etapas 2 y 3 se emiten en sesiones abiertas en un directorio </w:t>
      </w:r>
      <w:r>
        <w:rPr>
          <w:rFonts w:ascii="Times New Roman" w:hAnsi="Times New Roman"/>
          <w:b/>
          <w:i w:val="0"/>
          <w:sz w:val="22"/>
        </w:rPr>
        <w:t>fuera del repositorio</w:t>
      </w:r>
      <w:r>
        <w:rPr>
          <w:rFonts w:ascii="Times New Roman" w:hAnsi="Times New Roman"/>
          <w:b w:val="0"/>
          <w:i w:val="0"/>
          <w:sz w:val="22"/>
        </w:rPr>
        <w:t>, que solo contiene el anexo C, el lote que se criba y el guion que registra la respuesta, sin CLAUDE.md y con la memoria automática desactivada. Cada lote registra el directorio de trabajo y la lista de ficheros visibles en la sesión.</w:t>
      </w:r>
    </w:p>
    <w:p>
      <w:pPr>
        <w:pStyle w:val="Heading2"/>
      </w:pPr>
      <w:r>
        <w:rPr>
          <w:rFonts w:ascii="Times New Roman" w:hAnsi="Times New Roman"/>
          <w:b w:val="0"/>
          <w:i w:val="0"/>
          <w:sz w:val="26"/>
        </w:rPr>
        <w:t>4. Autores</w:t>
      </w:r>
    </w:p>
    <w:p>
      <w:pPr>
        <w:pStyle w:val="ListBullet"/>
      </w:pPr>
      <w:r>
        <w:rPr>
          <w:rFonts w:ascii="Times New Roman" w:hAnsi="Times New Roman"/>
          <w:b/>
          <w:i w:val="0"/>
          <w:sz w:val="22"/>
        </w:rPr>
        <w:t>Danny Valdiviezo</w:t>
      </w:r>
      <w:r>
        <w:rPr>
          <w:rFonts w:ascii="Times New Roman" w:hAnsi="Times New Roman"/>
          <w:b w:val="0"/>
          <w:i w:val="0"/>
          <w:sz w:val="22"/>
        </w:rPr>
        <w:t>, Facultad de Medicina, Universidad Católica de Cuenca, Cuenca, Ecuador. Autor de correspondencia: Av. de las Américas y Humboldt, Cuenca, Ecuador; dvchiqui@gmail.com. ORCID ‹‹ORCID››.</w:t>
      </w:r>
    </w:p>
    <w:p>
      <w:pPr>
        <w:pStyle w:val="ListBullet"/>
      </w:pPr>
      <w:r>
        <w:rPr>
          <w:rFonts w:ascii="Times New Roman" w:hAnsi="Times New Roman"/>
          <w:b/>
          <w:i w:val="0"/>
          <w:sz w:val="22"/>
        </w:rPr>
        <w:t>Nataly Elizabeth Trelles Avila</w:t>
      </w:r>
      <w:r>
        <w:rPr>
          <w:rFonts w:ascii="Times New Roman" w:hAnsi="Times New Roman"/>
          <w:b w:val="0"/>
          <w:i w:val="0"/>
          <w:sz w:val="22"/>
        </w:rPr>
        <w:t>, Facultad de Medicina, Universidad Católica de Cuenca, Cuenca, Ecuador. Correo ‹‹CORREO››. ORCID ‹‹ORCID››.</w:t>
      </w:r>
    </w:p>
    <w:p>
      <w:pPr>
        <w:jc w:val="both"/>
      </w:pPr>
      <w:r>
        <w:rPr>
          <w:rFonts w:ascii="Times New Roman" w:hAnsi="Times New Roman"/>
          <w:b/>
          <w:i w:val="0"/>
          <w:sz w:val="22"/>
        </w:rPr>
        <w:t>Contribuciones</w:t>
      </w:r>
      <w:r>
        <w:rPr>
          <w:rFonts w:ascii="Times New Roman" w:hAnsi="Times New Roman"/>
          <w:b w:val="0"/>
          <w:i w:val="0"/>
          <w:sz w:val="22"/>
        </w:rPr>
        <w:t xml:space="preserve"> (las tareas del modelo de lenguaje están en la sección 19):</w:t>
      </w:r>
    </w:p>
    <w:p>
      <w:pPr>
        <w:pStyle w:val="ListBullet"/>
      </w:pPr>
      <w:r>
        <w:rPr>
          <w:rFonts w:ascii="Times New Roman" w:hAnsi="Times New Roman"/>
          <w:b/>
          <w:i w:val="0"/>
          <w:sz w:val="22"/>
        </w:rPr>
        <w:t>D.V.:</w:t>
      </w:r>
    </w:p>
    <w:p>
      <w:pPr>
        <w:pStyle w:val="ListBullet2"/>
      </w:pPr>
      <w:r>
        <w:rPr>
          <w:rFonts w:ascii="Times New Roman" w:hAnsi="Times New Roman"/>
          <w:b w:val="0"/>
          <w:i w:val="0"/>
          <w:sz w:val="22"/>
        </w:rPr>
        <w:t>concepción;</w:t>
      </w:r>
    </w:p>
    <w:p>
      <w:pPr>
        <w:pStyle w:val="ListBullet2"/>
      </w:pPr>
      <w:r>
        <w:rPr>
          <w:rFonts w:ascii="Times New Roman" w:hAnsi="Times New Roman"/>
          <w:b w:val="0"/>
          <w:i w:val="0"/>
          <w:sz w:val="22"/>
        </w:rPr>
        <w:t>ejecución de las búsquedas en las interfaces (sección 10);</w:t>
      </w:r>
    </w:p>
    <w:p>
      <w:pPr>
        <w:pStyle w:val="ListBullet2"/>
      </w:pPr>
      <w:r>
        <w:rPr>
          <w:rFonts w:ascii="Times New Roman" w:hAnsi="Times New Roman"/>
          <w:b w:val="0"/>
          <w:i w:val="0"/>
          <w:sz w:val="22"/>
        </w:rPr>
        <w:t>conducción del cribado, cuyas decisiones emite el modelo;</w:t>
      </w:r>
    </w:p>
    <w:p>
      <w:pPr>
        <w:pStyle w:val="ListBullet2"/>
      </w:pPr>
      <w:r>
        <w:rPr>
          <w:rFonts w:ascii="Times New Roman" w:hAnsi="Times New Roman"/>
          <w:b w:val="0"/>
          <w:i w:val="0"/>
          <w:sz w:val="22"/>
        </w:rPr>
        <w:t>elegibilidad a texto completo, extracción y riesgo de sesgo;</w:t>
      </w:r>
    </w:p>
    <w:p>
      <w:pPr>
        <w:pStyle w:val="ListBullet2"/>
      </w:pPr>
      <w:r>
        <w:rPr>
          <w:rFonts w:ascii="Times New Roman" w:hAnsi="Times New Roman"/>
          <w:b w:val="0"/>
          <w:i w:val="0"/>
          <w:sz w:val="22"/>
        </w:rPr>
        <w:t>recribado ciego;</w:t>
      </w:r>
    </w:p>
    <w:p>
      <w:pPr>
        <w:pStyle w:val="ListBullet2"/>
      </w:pPr>
      <w:r>
        <w:rPr>
          <w:rFonts w:ascii="Times New Roman" w:hAnsi="Times New Roman"/>
          <w:b w:val="0"/>
          <w:i w:val="0"/>
          <w:sz w:val="22"/>
        </w:rPr>
        <w:t>aprobación del protocolo que redactó el modelo.</w:t>
      </w:r>
    </w:p>
    <w:p>
      <w:pPr>
        <w:pStyle w:val="ListBullet"/>
      </w:pPr>
      <w:r>
        <w:rPr>
          <w:rFonts w:ascii="Times New Roman" w:hAnsi="Times New Roman"/>
          <w:b/>
          <w:i w:val="0"/>
          <w:sz w:val="22"/>
        </w:rPr>
        <w:t>N.T.:</w:t>
      </w:r>
    </w:p>
    <w:p>
      <w:pPr>
        <w:pStyle w:val="ListBullet2"/>
      </w:pPr>
      <w:r>
        <w:rPr>
          <w:rFonts w:ascii="Times New Roman" w:hAnsi="Times New Roman"/>
          <w:b w:val="0"/>
          <w:i w:val="0"/>
          <w:sz w:val="22"/>
        </w:rPr>
        <w:t>decisión, con D.V., de las reglas de desenlace que redactó el modelo el 11 y el 12 de agosto de 2026 (declaración de D.V., 8 de octubre de 2026; el registro del 12 de agosto la deja como propuesta sin ratificar);</w:t>
      </w:r>
    </w:p>
    <w:p>
      <w:pPr>
        <w:pStyle w:val="ListBullet2"/>
      </w:pPr>
      <w:r>
        <w:rPr>
          <w:rFonts w:ascii="Times New Roman" w:hAnsi="Times New Roman"/>
          <w:b w:val="0"/>
          <w:i w:val="0"/>
          <w:sz w:val="22"/>
        </w:rPr>
        <w:t>elegibilidad a texto completo, extracción y riesgo de sesgo independientes;</w:t>
      </w:r>
    </w:p>
    <w:p>
      <w:pPr>
        <w:pStyle w:val="ListBullet2"/>
      </w:pPr>
      <w:r>
        <w:rPr>
          <w:rFonts w:ascii="Times New Roman" w:hAnsi="Times New Roman"/>
          <w:b w:val="0"/>
          <w:i w:val="0"/>
          <w:sz w:val="22"/>
        </w:rPr>
        <w:t>recribado ciego;</w:t>
      </w:r>
    </w:p>
    <w:p>
      <w:pPr>
        <w:pStyle w:val="ListBullet2"/>
      </w:pPr>
      <w:r>
        <w:rPr>
          <w:rFonts w:ascii="Times New Roman" w:hAnsi="Times New Roman"/>
          <w:b w:val="0"/>
          <w:i w:val="0"/>
          <w:sz w:val="22"/>
        </w:rPr>
        <w:t>validación de la pre-extracción;</w:t>
      </w:r>
    </w:p>
    <w:p>
      <w:pPr>
        <w:pStyle w:val="ListBullet2"/>
      </w:pPr>
      <w:r>
        <w:rPr>
          <w:rFonts w:ascii="Times New Roman" w:hAnsi="Times New Roman"/>
          <w:b w:val="0"/>
          <w:i w:val="0"/>
          <w:sz w:val="22"/>
        </w:rPr>
        <w:t>aprobación del protocolo.</w:t>
      </w:r>
    </w:p>
    <w:p>
      <w:pPr>
        <w:jc w:val="both"/>
      </w:pPr>
      <w:r>
        <w:rPr>
          <w:rFonts w:ascii="Times New Roman" w:hAnsi="Times New Roman"/>
          <w:b/>
          <w:i w:val="0"/>
          <w:sz w:val="22"/>
        </w:rPr>
        <w:t>Garante:</w:t>
      </w:r>
      <w:r>
        <w:rPr>
          <w:rFonts w:ascii="Times New Roman" w:hAnsi="Times New Roman"/>
          <w:b w:val="0"/>
          <w:i w:val="0"/>
          <w:sz w:val="22"/>
        </w:rPr>
        <w:t xml:space="preserve"> D.V.</w:t>
      </w:r>
    </w:p>
    <w:p>
      <w:pPr>
        <w:jc w:val="both"/>
      </w:pPr>
      <w:r>
        <w:rPr>
          <w:rFonts w:ascii="Times New Roman" w:hAnsi="Times New Roman"/>
          <w:b/>
          <w:i w:val="0"/>
          <w:sz w:val="22"/>
        </w:rPr>
        <w:t>Autoría solapada:</w:t>
      </w:r>
      <w:r>
        <w:rPr>
          <w:rFonts w:ascii="Times New Roman" w:hAnsi="Times New Roman"/>
          <w:b w:val="0"/>
          <w:i w:val="0"/>
          <w:sz w:val="22"/>
        </w:rPr>
        <w:t xml:space="preserve"> ‹‹CONFIRMAR: ninguno de los autores firma estudios elegibles››.</w:t>
      </w:r>
    </w:p>
    <w:p>
      <w:pPr>
        <w:pStyle w:val="Heading2"/>
      </w:pPr>
      <w:r>
        <w:rPr>
          <w:rFonts w:ascii="Times New Roman" w:hAnsi="Times New Roman"/>
          <w:b w:val="0"/>
          <w:i w:val="0"/>
          <w:sz w:val="26"/>
        </w:rPr>
        <w:t>5. Cambios posteriores al depósito</w:t>
      </w:r>
    </w:p>
    <w:p>
      <w:pPr>
        <w:jc w:val="both"/>
      </w:pPr>
      <w:r>
        <w:rPr>
          <w:rFonts w:ascii="Times New Roman" w:hAnsi="Times New Roman"/>
          <w:b w:val="0"/>
          <w:i w:val="0"/>
          <w:sz w:val="22"/>
        </w:rPr>
        <w:t xml:space="preserve">Todo cambio a este protocolo se registra en OSF como actualización, con fecha y motivo, </w:t>
      </w:r>
      <w:r>
        <w:rPr>
          <w:rFonts w:ascii="Times New Roman" w:hAnsi="Times New Roman"/>
          <w:b/>
          <w:i w:val="0"/>
          <w:sz w:val="22"/>
        </w:rPr>
        <w:t>antes</w:t>
      </w:r>
      <w:r>
        <w:rPr>
          <w:rFonts w:ascii="Times New Roman" w:hAnsi="Times New Roman"/>
          <w:b w:val="0"/>
          <w:i w:val="0"/>
          <w:sz w:val="22"/>
        </w:rPr>
        <w:t xml:space="preserve"> de aplicarse. El informe final enumera cada uno con su efecto medido sobre el corpus.</w:t>
      </w:r>
    </w:p>
    <w:p>
      <w:pPr>
        <w:jc w:val="both"/>
      </w:pPr>
      <w:r>
        <w:rPr>
          <w:rFonts w:ascii="Times New Roman" w:hAnsi="Times New Roman"/>
          <w:b w:val="0"/>
          <w:i w:val="0"/>
          <w:sz w:val="22"/>
        </w:rPr>
        <w:t>Un motivo de exclusión que no encaje en el vocabulario de la sección 8.8 no recibe un código improvisado: el estudio permanece hasta que los dos autores registren el cambio.</w:t>
      </w:r>
    </w:p>
    <w:p>
      <w:pPr>
        <w:pStyle w:val="Heading2"/>
      </w:pPr>
      <w:r>
        <w:rPr>
          <w:rFonts w:ascii="Times New Roman" w:hAnsi="Times New Roman"/>
          <w:b w:val="0"/>
          <w:i w:val="0"/>
          <w:sz w:val="26"/>
        </w:rPr>
        <w:t>6. Justificación</w:t>
      </w:r>
    </w:p>
    <w:p>
      <w:pPr>
        <w:jc w:val="both"/>
      </w:pPr>
      <w:r>
        <w:rPr>
          <w:rFonts w:ascii="Times New Roman" w:hAnsi="Times New Roman"/>
          <w:b w:val="0"/>
          <w:i/>
          <w:sz w:val="22"/>
        </w:rPr>
        <w:t>P. aeruginosa</w:t>
      </w:r>
      <w:r>
        <w:rPr>
          <w:rFonts w:ascii="Times New Roman" w:hAnsi="Times New Roman"/>
          <w:b w:val="0"/>
          <w:i w:val="0"/>
          <w:sz w:val="22"/>
        </w:rPr>
        <w:t xml:space="preserve"> figura entre los patógenos prioritarios de la Organización Mundial de la Salud. La lista de 2017 lo situó en prioridad crítica (Tacconelli et al., </w:t>
      </w:r>
      <w:r>
        <w:rPr>
          <w:rFonts w:ascii="Times New Roman" w:hAnsi="Times New Roman"/>
          <w:b w:val="0"/>
          <w:i/>
          <w:sz w:val="22"/>
        </w:rPr>
        <w:t>Lancet Infect Dis</w:t>
      </w:r>
      <w:r>
        <w:rPr>
          <w:rFonts w:ascii="Times New Roman" w:hAnsi="Times New Roman"/>
          <w:b w:val="0"/>
          <w:i w:val="0"/>
          <w:sz w:val="22"/>
        </w:rPr>
        <w:t xml:space="preserve"> 2018;18:318-27), y la actualización de 2024 pasó su forma resistente a carbapenémicos a prioridad alta.</w:t>
      </w:r>
    </w:p>
    <w:p>
      <w:pPr>
        <w:jc w:val="both"/>
      </w:pPr>
      <w:r>
        <w:rPr>
          <w:rFonts w:ascii="Times New Roman" w:hAnsi="Times New Roman"/>
          <w:b w:val="0"/>
          <w:i w:val="0"/>
          <w:sz w:val="22"/>
        </w:rPr>
        <w:t xml:space="preserve">La literatura clínica sobre fagoterapia creció como una acumulación de casos de rescate publicados de uno en uno, con una publicación condicionada al desenlace (Aslam et al., </w:t>
      </w:r>
      <w:r>
        <w:rPr>
          <w:rFonts w:ascii="Times New Roman" w:hAnsi="Times New Roman"/>
          <w:b w:val="0"/>
          <w:i/>
          <w:sz w:val="22"/>
        </w:rPr>
        <w:t>Am J Transplant</w:t>
      </w:r>
      <w:r>
        <w:rPr>
          <w:rFonts w:ascii="Times New Roman" w:hAnsi="Times New Roman"/>
          <w:b w:val="0"/>
          <w:i w:val="0"/>
          <w:sz w:val="22"/>
        </w:rPr>
        <w:t xml:space="preserve"> 2019). Además, el fago se da a menudo junto con antimicrobianos activos (Chan et al., </w:t>
      </w:r>
      <w:r>
        <w:rPr>
          <w:rFonts w:ascii="Times New Roman" w:hAnsi="Times New Roman"/>
          <w:b w:val="0"/>
          <w:i/>
          <w:sz w:val="22"/>
        </w:rPr>
        <w:t>Evol Med Public Health</w:t>
      </w:r>
      <w:r>
        <w:rPr>
          <w:rFonts w:ascii="Times New Roman" w:hAnsi="Times New Roman"/>
          <w:b w:val="0"/>
          <w:i w:val="0"/>
          <w:sz w:val="22"/>
        </w:rPr>
        <w:t xml:space="preserve"> 2018).</w:t>
      </w:r>
    </w:p>
    <w:p>
      <w:pPr>
        <w:jc w:val="both"/>
      </w:pPr>
      <w:r>
        <w:rPr>
          <w:rFonts w:ascii="Times New Roman" w:hAnsi="Times New Roman"/>
          <w:b w:val="0"/>
          <w:i w:val="0"/>
          <w:sz w:val="22"/>
        </w:rPr>
        <w:t xml:space="preserve">Las síntesis publicadas agregan esa literatura en proporciones globales de éxito clínico (Uyttebroek et al., </w:t>
      </w:r>
      <w:r>
        <w:rPr>
          <w:rFonts w:ascii="Times New Roman" w:hAnsi="Times New Roman"/>
          <w:b w:val="0"/>
          <w:i/>
          <w:sz w:val="22"/>
        </w:rPr>
        <w:t>Lancet Infect Dis</w:t>
      </w:r>
      <w:r>
        <w:rPr>
          <w:rFonts w:ascii="Times New Roman" w:hAnsi="Times New Roman"/>
          <w:b w:val="0"/>
          <w:i w:val="0"/>
          <w:sz w:val="22"/>
        </w:rPr>
        <w:t xml:space="preserve"> 2022; Liu et al., </w:t>
      </w:r>
      <w:r>
        <w:rPr>
          <w:rFonts w:ascii="Times New Roman" w:hAnsi="Times New Roman"/>
          <w:b w:val="0"/>
          <w:i/>
          <w:sz w:val="22"/>
        </w:rPr>
        <w:t>Int J Antimicrob Agents</w:t>
      </w:r>
      <w:r>
        <w:rPr>
          <w:rFonts w:ascii="Times New Roman" w:hAnsi="Times New Roman"/>
          <w:b w:val="0"/>
          <w:i w:val="0"/>
          <w:sz w:val="22"/>
        </w:rPr>
        <w:t xml:space="preserve"> 2025). Hacerlo presupone tres cosas que rara vez se comprueban:</w:t>
      </w:r>
    </w:p>
    <w:p>
      <w:pPr>
        <w:pStyle w:val="ListNumber"/>
      </w:pPr>
      <w:r>
        <w:rPr>
          <w:rFonts w:ascii="Times New Roman" w:hAnsi="Times New Roman"/>
          <w:b w:val="0"/>
          <w:i w:val="0"/>
          <w:sz w:val="22"/>
        </w:rPr>
        <w:t>que la clase de resistencia con que se estratifica resiste el contraste con los criterios que dice aplicar;</w:t>
      </w:r>
    </w:p>
    <w:p>
      <w:pPr>
        <w:pStyle w:val="ListNumber"/>
      </w:pPr>
      <w:r>
        <w:rPr>
          <w:rFonts w:ascii="Times New Roman" w:hAnsi="Times New Roman"/>
          <w:b w:val="0"/>
          <w:i w:val="0"/>
          <w:sz w:val="22"/>
        </w:rPr>
        <w:t>que el desenlace agregado nombra lo mismo en todos los estudios;</w:t>
      </w:r>
    </w:p>
    <w:p>
      <w:pPr>
        <w:pStyle w:val="ListNumber"/>
      </w:pPr>
      <w:r>
        <w:rPr>
          <w:rFonts w:ascii="Times New Roman" w:hAnsi="Times New Roman"/>
          <w:b w:val="0"/>
          <w:i w:val="0"/>
          <w:sz w:val="22"/>
        </w:rPr>
        <w:t>que la intervención es bastante homogénea para que una proporción común signifique algo.</w:t>
      </w:r>
    </w:p>
    <w:p>
      <w:pPr>
        <w:jc w:val="both"/>
      </w:pPr>
      <w:r>
        <w:rPr>
          <w:rFonts w:ascii="Times New Roman" w:hAnsi="Times New Roman"/>
          <w:b w:val="0"/>
          <w:i w:val="0"/>
          <w:sz w:val="22"/>
        </w:rPr>
        <w:t>Esta revisión examina esas premisas antes de cualquier estimación.</w:t>
      </w:r>
    </w:p>
    <w:p>
      <w:pPr>
        <w:pStyle w:val="Heading2"/>
      </w:pPr>
      <w:r>
        <w:rPr>
          <w:rFonts w:ascii="Times New Roman" w:hAnsi="Times New Roman"/>
          <w:b w:val="0"/>
          <w:i w:val="0"/>
          <w:sz w:val="26"/>
        </w:rPr>
        <w:t>7. Objetivos y preguntas</w:t>
      </w:r>
    </w:p>
    <w:p>
      <w:pPr>
        <w:jc w:val="both"/>
      </w:pPr>
      <w:r>
        <w:rPr>
          <w:rFonts w:ascii="Times New Roman" w:hAnsi="Times New Roman"/>
          <w:b/>
          <w:i w:val="0"/>
          <w:sz w:val="22"/>
        </w:rPr>
        <w:t>Pregunta principal.</w:t>
      </w:r>
      <w:r>
        <w:rPr>
          <w:rFonts w:ascii="Times New Roman" w:hAnsi="Times New Roman"/>
          <w:b w:val="0"/>
          <w:i w:val="0"/>
          <w:sz w:val="22"/>
        </w:rPr>
        <w:t xml:space="preserve"> En pacientes con infección o colonización crónica por </w:t>
      </w:r>
      <w:r>
        <w:rPr>
          <w:rFonts w:ascii="Times New Roman" w:hAnsi="Times New Roman"/>
          <w:b w:val="0"/>
          <w:i/>
          <w:sz w:val="22"/>
        </w:rPr>
        <w:t>P. aeruginosa</w:t>
      </w:r>
      <w:r>
        <w:rPr>
          <w:rFonts w:ascii="Times New Roman" w:hAnsi="Times New Roman"/>
          <w:b w:val="0"/>
          <w:i w:val="0"/>
          <w:sz w:val="22"/>
        </w:rPr>
        <w:t xml:space="preserve"> tratados con bacteriófagos líticos, solos o con antimicrobianos, ¿reúne la literatura clínica publicada los requisitos de completitud de reporte, estructura y homogeneidad que exige una síntesis cuantitativa de eficacia?</w:t>
      </w:r>
    </w:p>
    <w:p>
      <w:pPr>
        <w:jc w:val="both"/>
      </w:pPr>
      <w:r>
        <w:rPr>
          <w:rFonts w:ascii="Times New Roman" w:hAnsi="Times New Roman"/>
          <w:b/>
          <w:i w:val="0"/>
          <w:sz w:val="22"/>
        </w:rPr>
        <w:t>Preguntas secundarias:</w:t>
      </w:r>
    </w:p>
    <w:p>
      <w:pPr>
        <w:pStyle w:val="ListNumber"/>
      </w:pPr>
      <w:r>
        <w:rPr>
          <w:rFonts w:ascii="Times New Roman" w:hAnsi="Times New Roman"/>
          <w:b w:val="0"/>
          <w:i w:val="0"/>
          <w:sz w:val="22"/>
        </w:rPr>
        <w:t>¿Con qué frecuencia declaran los estudios, en el resumen y en el texto completo, la clase de resistencia, la vía, el ámbito de patógeno y el criterio DTR?</w:t>
      </w:r>
    </w:p>
    <w:p>
      <w:pPr>
        <w:pStyle w:val="ListNumber"/>
      </w:pPr>
      <w:r>
        <w:rPr>
          <w:rFonts w:ascii="Times New Roman" w:hAnsi="Times New Roman"/>
          <w:b w:val="0"/>
          <w:i w:val="0"/>
          <w:sz w:val="22"/>
        </w:rPr>
        <w:t>¿Con qué frecuencia informan cada uno de los cinco desenlaces con numerador y denominador, y una definición operativa del éxito clínico?</w:t>
      </w:r>
    </w:p>
    <w:p>
      <w:pPr>
        <w:pStyle w:val="ListNumber"/>
      </w:pPr>
      <w:r>
        <w:rPr>
          <w:rFonts w:ascii="Times New Roman" w:hAnsi="Times New Roman"/>
          <w:b w:val="0"/>
          <w:i w:val="0"/>
          <w:sz w:val="22"/>
        </w:rPr>
        <w:t>¿Coincide la clase de resistencia declarada con la que permite asignar el antibiograma publicado?</w:t>
      </w:r>
    </w:p>
    <w:p>
      <w:pPr>
        <w:pStyle w:val="ListNumber"/>
      </w:pPr>
      <w:r>
        <w:rPr>
          <w:rFonts w:ascii="Times New Roman" w:hAnsi="Times New Roman"/>
          <w:b w:val="0"/>
          <w:i w:val="0"/>
          <w:sz w:val="22"/>
        </w:rPr>
        <w:t>¿Qué parte de la evidencia identificada deja fuera cada uno de los criterios de idioma y de texto completo, y qué diseños pierde?</w:t>
      </w:r>
    </w:p>
    <w:p>
      <w:pPr>
        <w:pStyle w:val="ListNumber"/>
      </w:pPr>
      <w:r>
        <w:rPr>
          <w:rFonts w:ascii="Times New Roman" w:hAnsi="Times New Roman"/>
          <w:b w:val="0"/>
          <w:i w:val="0"/>
          <w:sz w:val="22"/>
        </w:rPr>
        <w:t>¿Cuántos estudios registrados no tienen publicación?</w:t>
      </w:r>
    </w:p>
    <w:p>
      <w:pPr>
        <w:jc w:val="both"/>
      </w:pPr>
      <w:r>
        <w:rPr>
          <w:rFonts w:ascii="Times New Roman" w:hAnsi="Times New Roman"/>
          <w:b/>
          <w:i w:val="0"/>
          <w:sz w:val="22"/>
        </w:rPr>
        <w:t>Expectativas.</w:t>
      </w:r>
      <w:r>
        <w:rPr>
          <w:rFonts w:ascii="Times New Roman" w:hAnsi="Times New Roman"/>
          <w:b w:val="0"/>
          <w:i w:val="0"/>
          <w:sz w:val="22"/>
        </w:rPr>
        <w:t xml:space="preserve"> Ver la sección 3.2.</w:t>
      </w:r>
    </w:p>
    <w:p>
      <w:pPr>
        <w:pStyle w:val="Heading2"/>
      </w:pPr>
      <w:r>
        <w:rPr>
          <w:rFonts w:ascii="Times New Roman" w:hAnsi="Times New Roman"/>
          <w:b w:val="0"/>
          <w:i w:val="0"/>
          <w:sz w:val="26"/>
        </w:rPr>
        <w:t>8. Criterios de elegibilidad</w:t>
      </w:r>
    </w:p>
    <w:p>
      <w:pPr>
        <w:pStyle w:val="Heading3"/>
      </w:pPr>
      <w:r>
        <w:rPr>
          <w:rFonts w:ascii="Times New Roman" w:hAnsi="Times New Roman"/>
          <w:b w:val="0"/>
          <w:i w:val="0"/>
          <w:sz w:val="22"/>
        </w:rPr>
        <w:t>8.1 Unidad de inclusión</w:t>
      </w:r>
    </w:p>
    <w:p>
      <w:pPr>
        <w:jc w:val="both"/>
      </w:pPr>
      <w:r>
        <w:rPr>
          <w:rFonts w:ascii="Times New Roman" w:hAnsi="Times New Roman"/>
          <w:b w:val="0"/>
          <w:i w:val="0"/>
          <w:sz w:val="22"/>
        </w:rPr>
        <w:t xml:space="preserve">La unidad es el </w:t>
      </w:r>
      <w:r>
        <w:rPr>
          <w:rFonts w:ascii="Times New Roman" w:hAnsi="Times New Roman"/>
          <w:b/>
          <w:i w:val="0"/>
          <w:sz w:val="22"/>
        </w:rPr>
        <w:t>estudio</w:t>
      </w:r>
      <w:r>
        <w:rPr>
          <w:rFonts w:ascii="Times New Roman" w:hAnsi="Times New Roman"/>
          <w:b w:val="0"/>
          <w:i w:val="0"/>
          <w:sz w:val="22"/>
        </w:rPr>
        <w:t>, no el informe (PRISMA 2020).</w:t>
      </w:r>
    </w:p>
    <w:p>
      <w:pPr>
        <w:pStyle w:val="ListBullet"/>
      </w:pPr>
      <w:r>
        <w:rPr>
          <w:rFonts w:ascii="Times New Roman" w:hAnsi="Times New Roman"/>
          <w:b/>
          <w:i w:val="0"/>
          <w:sz w:val="22"/>
        </w:rPr>
        <w:t>Un mismo estudio.</w:t>
      </w:r>
      <w:r>
        <w:rPr>
          <w:rFonts w:ascii="Times New Roman" w:hAnsi="Times New Roman"/>
          <w:b w:val="0"/>
          <w:i w:val="0"/>
          <w:sz w:val="22"/>
        </w:rPr>
        <w:t xml:space="preserve"> Varios informes son un solo estudio cuando describen el mismo ensayo o la misma cohorte (mismo registro, mismo protocolo o misma selección de pacientes), aunque uno informe más pacientes o más seguimiento que otro. Es el caso de un análisis intermedio y el final.</w:t>
      </w:r>
    </w:p>
    <w:p>
      <w:pPr>
        <w:pStyle w:val="ListBullet"/>
      </w:pPr>
      <w:r>
        <w:rPr>
          <w:rFonts w:ascii="Times New Roman" w:hAnsi="Times New Roman"/>
          <w:b/>
          <w:i w:val="0"/>
          <w:sz w:val="22"/>
        </w:rPr>
        <w:t>Estudios distintos con solapamiento.</w:t>
      </w:r>
      <w:r>
        <w:rPr>
          <w:rFonts w:ascii="Times New Roman" w:hAnsi="Times New Roman"/>
          <w:b w:val="0"/>
          <w:i w:val="0"/>
          <w:sz w:val="22"/>
        </w:rPr>
        <w:t xml:space="preserve"> Lo son cuando un estudio con su propia selección incorpora pacientes de otro, como las series acumulativas o los programas que reúnen casos ya publicados (sección 14.6).</w:t>
      </w:r>
    </w:p>
    <w:p>
      <w:pPr>
        <w:pStyle w:val="Heading3"/>
      </w:pPr>
      <w:r>
        <w:rPr>
          <w:rFonts w:ascii="Times New Roman" w:hAnsi="Times New Roman"/>
          <w:b w:val="0"/>
          <w:i w:val="0"/>
          <w:sz w:val="22"/>
        </w:rPr>
        <w:t>8.2 Diseño</w:t>
      </w:r>
    </w:p>
    <w:p>
      <w:pPr>
        <w:jc w:val="both"/>
      </w:pPr>
      <w:r>
        <w:rPr>
          <w:rFonts w:ascii="Times New Roman" w:hAnsi="Times New Roman"/>
          <w:b w:val="0"/>
          <w:i w:val="0"/>
          <w:sz w:val="22"/>
        </w:rPr>
        <w:t>Se incluyen los estudios primarios con pacientes tratados:</w:t>
      </w:r>
    </w:p>
    <w:p>
      <w:pPr>
        <w:pStyle w:val="ListBullet"/>
      </w:pPr>
      <w:r>
        <w:rPr>
          <w:rFonts w:ascii="Times New Roman" w:hAnsi="Times New Roman"/>
          <w:b w:val="0"/>
          <w:i w:val="0"/>
          <w:sz w:val="22"/>
        </w:rPr>
        <w:t>ensayos aleatorizados y no aleatorizados;</w:t>
      </w:r>
    </w:p>
    <w:p>
      <w:pPr>
        <w:pStyle w:val="ListBullet"/>
      </w:pPr>
      <w:r>
        <w:rPr>
          <w:rFonts w:ascii="Times New Roman" w:hAnsi="Times New Roman"/>
          <w:b w:val="0"/>
          <w:i w:val="0"/>
          <w:sz w:val="22"/>
        </w:rPr>
        <w:t>cohortes prospectivas y retrospectivas;</w:t>
      </w:r>
    </w:p>
    <w:p>
      <w:pPr>
        <w:pStyle w:val="ListBullet"/>
      </w:pPr>
      <w:r>
        <w:rPr>
          <w:rFonts w:ascii="Times New Roman" w:hAnsi="Times New Roman"/>
          <w:b w:val="0"/>
          <w:i w:val="0"/>
          <w:sz w:val="22"/>
        </w:rPr>
        <w:t>series de casos;</w:t>
      </w:r>
    </w:p>
    <w:p>
      <w:pPr>
        <w:pStyle w:val="ListBullet"/>
      </w:pPr>
      <w:r>
        <w:rPr>
          <w:rFonts w:ascii="Times New Roman" w:hAnsi="Times New Roman"/>
          <w:b w:val="0"/>
          <w:i w:val="0"/>
          <w:sz w:val="22"/>
        </w:rPr>
        <w:t>reportes de caso.</w:t>
      </w:r>
    </w:p>
    <w:p>
      <w:pPr>
        <w:jc w:val="both"/>
      </w:pPr>
      <w:r>
        <w:rPr>
          <w:rFonts w:ascii="Times New Roman" w:hAnsi="Times New Roman"/>
          <w:b w:val="0"/>
          <w:i w:val="0"/>
          <w:sz w:val="22"/>
        </w:rPr>
        <w:t>Un informe que describe al menos un paciente propio tratado con fagos y al menos un desenlace de la sección 8.5 es un estudio primario, cualquiera que sea su etiqueta: editorial, carta, opinión, revisión o artículo de métodos.</w:t>
      </w:r>
    </w:p>
    <w:p>
      <w:pPr>
        <w:jc w:val="both"/>
      </w:pPr>
      <w:r>
        <w:rPr>
          <w:rFonts w:ascii="Times New Roman" w:hAnsi="Times New Roman"/>
          <w:b w:val="0"/>
          <w:i w:val="0"/>
          <w:sz w:val="22"/>
        </w:rPr>
        <w:t>Se excluyen, siempre que no contengan ninguno de esos pacientes:</w:t>
      </w:r>
    </w:p>
    <w:p>
      <w:pPr>
        <w:pStyle w:val="ListBullet"/>
      </w:pPr>
      <w:r>
        <w:rPr>
          <w:rFonts w:ascii="Times New Roman" w:hAnsi="Times New Roman"/>
          <w:b w:val="0"/>
          <w:i w:val="0"/>
          <w:sz w:val="22"/>
        </w:rPr>
        <w:t>protocolos sin resultados (PRO);</w:t>
      </w:r>
    </w:p>
    <w:p>
      <w:pPr>
        <w:pStyle w:val="ListBullet"/>
      </w:pPr>
      <w:r>
        <w:rPr>
          <w:rFonts w:ascii="Times New Roman" w:hAnsi="Times New Roman"/>
          <w:b w:val="0"/>
          <w:i w:val="0"/>
          <w:sz w:val="22"/>
        </w:rPr>
        <w:t>revisiones narrativas, editoriales y comentarios sin datos primarios propios (REV);</w:t>
      </w:r>
    </w:p>
    <w:p>
      <w:pPr>
        <w:pStyle w:val="ListBullet"/>
      </w:pPr>
      <w:r>
        <w:rPr>
          <w:rFonts w:ascii="Times New Roman" w:hAnsi="Times New Roman"/>
          <w:b w:val="0"/>
          <w:i w:val="0"/>
          <w:sz w:val="22"/>
        </w:rPr>
        <w:t>revisiones sistemáticas y de alcance (SEC);</w:t>
      </w:r>
    </w:p>
    <w:p>
      <w:pPr>
        <w:pStyle w:val="ListBullet"/>
      </w:pPr>
      <w:r>
        <w:rPr>
          <w:rFonts w:ascii="Times New Roman" w:hAnsi="Times New Roman"/>
          <w:b w:val="0"/>
          <w:i w:val="0"/>
          <w:sz w:val="22"/>
        </w:rPr>
        <w:t>trabajo de laboratorio, preclínico o de modelización, incluidos los modelos animales de laboratorio (LAB);</w:t>
      </w:r>
    </w:p>
    <w:p>
      <w:pPr>
        <w:pStyle w:val="ListBullet"/>
      </w:pPr>
      <w:r>
        <w:rPr>
          <w:rFonts w:ascii="Times New Roman" w:hAnsi="Times New Roman"/>
          <w:b w:val="0"/>
          <w:i w:val="0"/>
          <w:sz w:val="22"/>
        </w:rPr>
        <w:t>estudios en animales de granja o de compañía, o con aislados veterinarios (VET).</w:t>
      </w:r>
    </w:p>
    <w:p>
      <w:pPr>
        <w:pStyle w:val="Heading3"/>
      </w:pPr>
      <w:r>
        <w:rPr>
          <w:rFonts w:ascii="Times New Roman" w:hAnsi="Times New Roman"/>
          <w:b w:val="0"/>
          <w:i w:val="0"/>
          <w:sz w:val="22"/>
        </w:rPr>
        <w:t>8.3 Población</w:t>
      </w:r>
    </w:p>
    <w:p>
      <w:pPr>
        <w:jc w:val="both"/>
      </w:pPr>
      <w:r>
        <w:rPr>
          <w:rFonts w:ascii="Times New Roman" w:hAnsi="Times New Roman"/>
          <w:b w:val="0"/>
          <w:i w:val="0"/>
          <w:sz w:val="22"/>
        </w:rPr>
        <w:t xml:space="preserve">Se incluyen los pacientes humanos con infección por </w:t>
      </w:r>
      <w:r>
        <w:rPr>
          <w:rFonts w:ascii="Times New Roman" w:hAnsi="Times New Roman"/>
          <w:b w:val="0"/>
          <w:i/>
          <w:sz w:val="22"/>
        </w:rPr>
        <w:t>P. aeruginosa</w:t>
      </w:r>
      <w:r>
        <w:rPr>
          <w:rFonts w:ascii="Times New Roman" w:hAnsi="Times New Roman"/>
          <w:b w:val="0"/>
          <w:i w:val="0"/>
          <w:sz w:val="22"/>
        </w:rPr>
        <w:t>, o con colonización crónica tratada con intención de erradicarla o suprimirla.</w:t>
      </w:r>
    </w:p>
    <w:p>
      <w:pPr>
        <w:pStyle w:val="ListBullet"/>
      </w:pPr>
      <w:r>
        <w:rPr>
          <w:rFonts w:ascii="Times New Roman" w:hAnsi="Times New Roman"/>
          <w:b/>
          <w:i w:val="0"/>
          <w:sz w:val="22"/>
        </w:rPr>
        <w:t>Colonización crónica:</w:t>
      </w:r>
      <w:r>
        <w:rPr>
          <w:rFonts w:ascii="Times New Roman" w:hAnsi="Times New Roman"/>
          <w:b w:val="0"/>
          <w:i w:val="0"/>
          <w:sz w:val="22"/>
        </w:rPr>
        <w:t xml:space="preserve"> la de vía aérea en fibrosis quística, bronquiectasias, EPOC, postrasplante pulmonar, o traqueostomía o ventilación prolongada. Requiere al menos dos cultivos positivos en doce meses, o que el artículo la declare crónica con un criterio explícito.</w:t>
      </w:r>
    </w:p>
    <w:p>
      <w:pPr>
        <w:pStyle w:val="ListBullet"/>
      </w:pPr>
      <w:r>
        <w:rPr>
          <w:rFonts w:ascii="Times New Roman" w:hAnsi="Times New Roman"/>
          <w:b/>
          <w:i w:val="0"/>
          <w:sz w:val="22"/>
        </w:rPr>
        <w:t>Profilaxis:</w:t>
      </w:r>
      <w:r>
        <w:rPr>
          <w:rFonts w:ascii="Times New Roman" w:hAnsi="Times New Roman"/>
          <w:b w:val="0"/>
          <w:i w:val="0"/>
          <w:sz w:val="22"/>
        </w:rPr>
        <w:t xml:space="preserve"> la administración a portadores no crónicos, o a pacientes sin infección, para prevenir una infección (PRF). Si un estudio tiene un brazo de prevención y otro de tratamiento, se incluyen solo los pacientes tratados, siempre que sean separables.</w:t>
      </w:r>
    </w:p>
    <w:p>
      <w:pPr>
        <w:jc w:val="both"/>
      </w:pPr>
      <w:r>
        <w:rPr>
          <w:rFonts w:ascii="Times New Roman" w:hAnsi="Times New Roman"/>
          <w:b/>
          <w:i w:val="0"/>
          <w:sz w:val="22"/>
        </w:rPr>
        <w:t>Resistencia.</w:t>
      </w:r>
      <w:r>
        <w:rPr>
          <w:rFonts w:ascii="Times New Roman" w:hAnsi="Times New Roman"/>
          <w:b w:val="0"/>
          <w:i w:val="0"/>
          <w:sz w:val="22"/>
        </w:rPr>
        <w:t xml:space="preserve"> La pregunta se refiere a la infección resistente: MDR, XDR o PDR según Magiorakos et al. (</w:t>
      </w:r>
      <w:r>
        <w:rPr>
          <w:rFonts w:ascii="Times New Roman" w:hAnsi="Times New Roman"/>
          <w:b w:val="0"/>
          <w:i/>
          <w:sz w:val="22"/>
        </w:rPr>
        <w:t>Clin Microbiol Infect</w:t>
      </w:r>
      <w:r>
        <w:rPr>
          <w:rFonts w:ascii="Times New Roman" w:hAnsi="Times New Roman"/>
          <w:b w:val="0"/>
          <w:i w:val="0"/>
          <w:sz w:val="22"/>
        </w:rPr>
        <w:t xml:space="preserve"> 2012;18:268-81). Pero </w:t>
      </w:r>
      <w:r>
        <w:rPr>
          <w:rFonts w:ascii="Times New Roman" w:hAnsi="Times New Roman"/>
          <w:b/>
          <w:i w:val="0"/>
          <w:sz w:val="22"/>
        </w:rPr>
        <w:t>la elegibilidad no exige que el estudio documente la clase</w:t>
      </w:r>
      <w:r>
        <w:rPr>
          <w:rFonts w:ascii="Times New Roman" w:hAnsi="Times New Roman"/>
          <w:b w:val="0"/>
          <w:i w:val="0"/>
          <w:sz w:val="22"/>
        </w:rPr>
        <w:t>, porque medir con qué frecuencia la documenta es una de las preguntas (sección 7). Un estudio cuyos pacientes no alcancen la definición MDR, sensibles incluidos, se incluye y se declara. La sección 16.3 dice qué brazos entran en una proporción agrupada.</w:t>
      </w:r>
    </w:p>
    <w:p>
      <w:pPr>
        <w:jc w:val="both"/>
      </w:pPr>
      <w:r>
        <w:rPr>
          <w:rFonts w:ascii="Times New Roman" w:hAnsi="Times New Roman"/>
          <w:b/>
          <w:i w:val="0"/>
          <w:sz w:val="22"/>
        </w:rPr>
        <w:t>Separabilidad de un estudio con varios patógenos:</w:t>
      </w:r>
    </w:p>
    <w:p>
      <w:pPr>
        <w:pStyle w:val="ListBullet"/>
      </w:pPr>
      <w:r>
        <w:rPr>
          <w:rFonts w:ascii="Times New Roman" w:hAnsi="Times New Roman"/>
          <w:b/>
          <w:i w:val="0"/>
          <w:sz w:val="22"/>
        </w:rPr>
        <w:t>Cumple</w:t>
      </w:r>
      <w:r>
        <w:rPr>
          <w:rFonts w:ascii="Times New Roman" w:hAnsi="Times New Roman"/>
          <w:b w:val="0"/>
          <w:i w:val="0"/>
          <w:sz w:val="22"/>
        </w:rPr>
        <w:t xml:space="preserve"> si permite identificar a los pacientes con </w:t>
      </w:r>
      <w:r>
        <w:rPr>
          <w:rFonts w:ascii="Times New Roman" w:hAnsi="Times New Roman"/>
          <w:b w:val="0"/>
          <w:i/>
          <w:sz w:val="22"/>
        </w:rPr>
        <w:t>P. aeruginosa</w:t>
      </w:r>
      <w:r>
        <w:rPr>
          <w:rFonts w:ascii="Times New Roman" w:hAnsi="Times New Roman"/>
          <w:b w:val="0"/>
          <w:i w:val="0"/>
          <w:sz w:val="22"/>
        </w:rPr>
        <w:t xml:space="preserve"> y extraer para ellos al menos un desenlace de la sección 8.5, por paciente o agregado por organismo. Si da datos por paciente, se extraen solo los de </w:t>
      </w:r>
      <w:r>
        <w:rPr>
          <w:rFonts w:ascii="Times New Roman" w:hAnsi="Times New Roman"/>
          <w:b w:val="0"/>
          <w:i/>
          <w:sz w:val="22"/>
        </w:rPr>
        <w:t>P. aeruginosa</w:t>
      </w:r>
      <w:r>
        <w:rPr>
          <w:rFonts w:ascii="Times New Roman" w:hAnsi="Times New Roman"/>
          <w:b w:val="0"/>
          <w:i w:val="0"/>
          <w:sz w:val="22"/>
        </w:rPr>
        <w:t>.</w:t>
      </w:r>
    </w:p>
    <w:p>
      <w:pPr>
        <w:pStyle w:val="ListBullet"/>
      </w:pPr>
      <w:r>
        <w:rPr>
          <w:rFonts w:ascii="Times New Roman" w:hAnsi="Times New Roman"/>
          <w:b/>
          <w:i w:val="0"/>
          <w:sz w:val="22"/>
        </w:rPr>
        <w:t>Entra solo en las medidas de completitud</w:t>
      </w:r>
      <w:r>
        <w:rPr>
          <w:rFonts w:ascii="Times New Roman" w:hAnsi="Times New Roman"/>
          <w:b w:val="0"/>
          <w:i w:val="0"/>
          <w:sz w:val="22"/>
        </w:rPr>
        <w:t xml:space="preserve"> si identifica a esos pacientes pero solo da sus desenlaces agregados con los de otros organismos. Su ámbito es «mixto sin desenlace separable» y sus brazos llevan atribuible = no.</w:t>
      </w:r>
    </w:p>
    <w:p>
      <w:pPr>
        <w:pStyle w:val="ListBullet"/>
      </w:pPr>
      <w:r>
        <w:rPr>
          <w:rFonts w:ascii="Times New Roman" w:hAnsi="Times New Roman"/>
          <w:b/>
          <w:i w:val="0"/>
          <w:sz w:val="22"/>
        </w:rPr>
        <w:t>No cumple (ORG)</w:t>
      </w:r>
      <w:r>
        <w:rPr>
          <w:rFonts w:ascii="Times New Roman" w:hAnsi="Times New Roman"/>
          <w:b w:val="0"/>
          <w:i w:val="0"/>
          <w:sz w:val="22"/>
        </w:rPr>
        <w:t xml:space="preserve"> si no permite saber cuántos tenían </w:t>
      </w:r>
      <w:r>
        <w:rPr>
          <w:rFonts w:ascii="Times New Roman" w:hAnsi="Times New Roman"/>
          <w:b w:val="0"/>
          <w:i/>
          <w:sz w:val="22"/>
        </w:rPr>
        <w:t>P. aeruginosa</w:t>
      </w:r>
      <w:r>
        <w:rPr>
          <w:rFonts w:ascii="Times New Roman" w:hAnsi="Times New Roman"/>
          <w:b w:val="0"/>
          <w:i w:val="0"/>
          <w:sz w:val="22"/>
        </w:rPr>
        <w:t>.</w:t>
      </w:r>
    </w:p>
    <w:p>
      <w:pPr>
        <w:pStyle w:val="ListBullet"/>
      </w:pPr>
      <w:r>
        <w:rPr>
          <w:rFonts w:ascii="Times New Roman" w:hAnsi="Times New Roman"/>
          <w:b/>
          <w:i w:val="0"/>
          <w:sz w:val="22"/>
        </w:rPr>
        <w:t>Infección polimicrobiana de un paciente.</w:t>
      </w:r>
      <w:r>
        <w:rPr>
          <w:rFonts w:ascii="Times New Roman" w:hAnsi="Times New Roman"/>
          <w:b w:val="0"/>
          <w:i w:val="0"/>
          <w:sz w:val="22"/>
        </w:rPr>
        <w:t xml:space="preserve"> Cumple la separabilidad; la atribución de su desenlace se registra en el campo atribuible (anexo B).</w:t>
      </w:r>
    </w:p>
    <w:p>
      <w:pPr>
        <w:pStyle w:val="Heading3"/>
      </w:pPr>
      <w:r>
        <w:rPr>
          <w:rFonts w:ascii="Times New Roman" w:hAnsi="Times New Roman"/>
          <w:b w:val="0"/>
          <w:i w:val="0"/>
          <w:sz w:val="22"/>
        </w:rPr>
        <w:t>8.4 Intervención</w:t>
      </w:r>
    </w:p>
    <w:p>
      <w:pPr>
        <w:jc w:val="both"/>
      </w:pPr>
      <w:r>
        <w:rPr>
          <w:rFonts w:ascii="Times New Roman" w:hAnsi="Times New Roman"/>
          <w:b w:val="0"/>
          <w:i w:val="0"/>
          <w:sz w:val="22"/>
        </w:rPr>
        <w:t>Se incluye la administración de bacteriófagos líticos, por cualquier vía, solos o con antimicrobianos.</w:t>
      </w:r>
    </w:p>
    <w:p>
      <w:pPr>
        <w:jc w:val="both"/>
      </w:pPr>
      <w:r>
        <w:rPr>
          <w:rFonts w:ascii="Times New Roman" w:hAnsi="Times New Roman"/>
          <w:b w:val="0"/>
          <w:i/>
          <w:sz w:val="22"/>
        </w:rPr>
      </w:r>
      <w:r>
        <w:rPr>
          <w:rFonts w:ascii="Times New Roman" w:hAnsi="Times New Roman"/>
          <w:b w:val="0"/>
          <w:i/>
          <w:sz w:val="22"/>
        </w:rPr>
        <w:t xml:space="preserve">Fago dirigido contra </w:t>
      </w:r>
      <w:r>
        <w:rPr>
          <w:rFonts w:ascii="Times New Roman" w:hAnsi="Times New Roman"/>
          <w:b w:val="0"/>
          <w:i w:val="0"/>
          <w:sz w:val="22"/>
        </w:rPr>
        <w:t>P. aeruginosa</w:t>
      </w:r>
      <w:r>
        <w:rPr>
          <w:rFonts w:ascii="Times New Roman" w:hAnsi="Times New Roman"/>
          <w:b w:val="0"/>
          <w:i/>
          <w:sz w:val="22"/>
        </w:rPr>
        <w:t>.</w:t>
      </w:r>
      <w:r>
        <w:rPr>
          <w:rFonts w:ascii="Times New Roman" w:hAnsi="Times New Roman"/>
          <w:b w:val="0"/>
          <w:i/>
          <w:sz w:val="22"/>
        </w:rPr>
        <w:t xml:space="preserve"> El estudio cumple si al menos un paciente con </w:t>
      </w:r>
      <w:r>
        <w:rPr>
          <w:rFonts w:ascii="Times New Roman" w:hAnsi="Times New Roman"/>
          <w:b w:val="0"/>
          <w:i w:val="0"/>
          <w:sz w:val="22"/>
        </w:rPr>
        <w:t>P. aeruginosa* aislada del sitio tratado, en una muestra tomada en los 30 días previos al primer fago, recibió un preparado que se dirige contra ella, es decir:</w:t>
      </w:r>
    </w:p>
    <w:p>
      <w:pPr>
        <w:pStyle w:val="ListBullet"/>
      </w:pPr>
      <w:r>
        <w:rPr>
          <w:rFonts w:ascii="Times New Roman" w:hAnsi="Times New Roman"/>
          <w:b w:val="0"/>
          <w:i w:val="0"/>
          <w:sz w:val="22"/>
        </w:rPr>
        <w:t xml:space="preserve">con al menos un fago de actividad lítica </w:t>
      </w:r>
      <w:r>
        <w:rPr>
          <w:rFonts w:ascii="Times New Roman" w:hAnsi="Times New Roman"/>
          <w:b/>
          <w:i w:val="0"/>
          <w:sz w:val="22"/>
        </w:rPr>
        <w:t>comprobada</w:t>
      </w:r>
      <w:r>
        <w:rPr>
          <w:rFonts w:ascii="Times New Roman" w:hAnsi="Times New Roman"/>
          <w:b w:val="0"/>
          <w:i w:val="0"/>
          <w:sz w:val="22"/>
        </w:rPr>
        <w:t xml:space="preserve"> frente a su aislado; o,</w:t>
      </w:r>
    </w:p>
    <w:p>
      <w:pPr>
        <w:pStyle w:val="ListBullet"/>
      </w:pPr>
      <w:r>
        <w:rPr>
          <w:rFonts w:ascii="Times New Roman" w:hAnsi="Times New Roman"/>
          <w:b w:val="0"/>
          <w:i w:val="0"/>
          <w:sz w:val="22"/>
        </w:rPr>
        <w:t xml:space="preserve">si el artículo no informa fagograma, un fago </w:t>
      </w:r>
      <w:r>
        <w:rPr>
          <w:rFonts w:ascii="Times New Roman" w:hAnsi="Times New Roman"/>
          <w:b/>
          <w:i w:val="0"/>
          <w:sz w:val="22"/>
        </w:rPr>
        <w:t>declarado activo</w:t>
      </w:r>
      <w:r>
        <w:rPr>
          <w:rFonts w:ascii="Times New Roman" w:hAnsi="Times New Roman"/>
          <w:b w:val="0"/>
          <w:i w:val="0"/>
          <w:sz w:val="22"/>
        </w:rPr>
        <w:t xml:space="preserve"> frente a </w:t>
      </w:r>
      <w:r>
        <w:rPr>
          <w:rFonts w:ascii="Times New Roman" w:hAnsi="Times New Roman"/>
          <w:b w:val="0"/>
          <w:i/>
          <w:sz w:val="22"/>
        </w:rPr>
        <w:t>P. aeruginosa</w:t>
      </w:r>
      <w:r>
        <w:rPr>
          <w:rFonts w:ascii="Times New Roman" w:hAnsi="Times New Roman"/>
          <w:b w:val="0"/>
          <w:i w:val="0"/>
          <w:sz w:val="22"/>
        </w:rPr>
        <w:t xml:space="preserve"> por los autores del estudio para ese paciente y administrado por esa infección. El espectro comercial del producto no basta.</w:t>
      </w:r>
    </w:p>
    <w:p>
      <w:pPr>
        <w:jc w:val="both"/>
      </w:pPr>
      <w:r>
        <w:rPr>
          <w:rFonts w:ascii="Times New Roman" w:hAnsi="Times New Roman"/>
          <w:b/>
          <w:i w:val="0"/>
          <w:sz w:val="22"/>
        </w:rPr>
        <w:t>Contradicciones.</w:t>
      </w:r>
      <w:r>
        <w:rPr>
          <w:rFonts w:ascii="Times New Roman" w:hAnsi="Times New Roman"/>
          <w:b w:val="0"/>
          <w:i w:val="0"/>
          <w:sz w:val="22"/>
        </w:rPr>
        <w:t xml:space="preserve"> Puede que el artículo se contradiga sobre la presencia de </w:t>
      </w:r>
      <w:r>
        <w:rPr>
          <w:rFonts w:ascii="Times New Roman" w:hAnsi="Times New Roman"/>
          <w:b w:val="0"/>
          <w:i/>
          <w:sz w:val="22"/>
        </w:rPr>
        <w:t>P. aeruginosa</w:t>
      </w:r>
      <w:r>
        <w:rPr>
          <w:rFonts w:ascii="Times New Roman" w:hAnsi="Times New Roman"/>
          <w:b w:val="0"/>
          <w:i w:val="0"/>
          <w:sz w:val="22"/>
        </w:rPr>
        <w:t xml:space="preserve"> antes del fago: por ejemplo, una tabla con carga bacteriana previa y un texto que la da por negativa. Entonces se tiene por presente a efectos de esta regla, y la contradicción se declara. El requisito de que el preparado se dirija contra ella se sigue aplicando.</w:t>
      </w:r>
    </w:p>
    <w:p>
      <w:pPr>
        <w:jc w:val="both"/>
      </w:pPr>
      <w:r>
        <w:rPr>
          <w:rFonts w:ascii="Times New Roman" w:hAnsi="Times New Roman"/>
          <w:b/>
          <w:i w:val="0"/>
          <w:sz w:val="22"/>
        </w:rPr>
        <w:t>No cumple:</w:t>
      </w:r>
    </w:p>
    <w:p>
      <w:pPr>
        <w:pStyle w:val="ListBullet"/>
      </w:pPr>
      <w:r>
        <w:rPr>
          <w:rFonts w:ascii="Times New Roman" w:hAnsi="Times New Roman"/>
          <w:b/>
          <w:i w:val="0"/>
          <w:sz w:val="22"/>
        </w:rPr>
        <w:t>ORG:</w:t>
      </w:r>
      <w:r>
        <w:rPr>
          <w:rFonts w:ascii="Times New Roman" w:hAnsi="Times New Roman"/>
          <w:b w:val="0"/>
          <w:i w:val="0"/>
          <w:sz w:val="22"/>
        </w:rPr>
        <w:t xml:space="preserve"> ningún paciente tiene </w:t>
      </w:r>
      <w:r>
        <w:rPr>
          <w:rFonts w:ascii="Times New Roman" w:hAnsi="Times New Roman"/>
          <w:b w:val="0"/>
          <w:i/>
          <w:sz w:val="22"/>
        </w:rPr>
        <w:t>P. aeruginosa</w:t>
      </w:r>
      <w:r>
        <w:rPr>
          <w:rFonts w:ascii="Times New Roman" w:hAnsi="Times New Roman"/>
          <w:b w:val="0"/>
          <w:i w:val="0"/>
          <w:sz w:val="22"/>
        </w:rPr>
        <w:t xml:space="preserve"> aislada en esa ventana. Incluye que solo figure en el espectro del producto, en la discusión o en la descripción del paciente de otro estudio.</w:t>
      </w:r>
    </w:p>
    <w:p>
      <w:pPr>
        <w:pStyle w:val="ListBullet"/>
      </w:pPr>
      <w:r>
        <w:rPr>
          <w:rFonts w:ascii="Times New Roman" w:hAnsi="Times New Roman"/>
          <w:b/>
          <w:i w:val="0"/>
          <w:sz w:val="22"/>
        </w:rPr>
        <w:t>DIA:</w:t>
      </w:r>
      <w:r>
        <w:rPr>
          <w:rFonts w:ascii="Times New Roman" w:hAnsi="Times New Roman"/>
          <w:b w:val="0"/>
          <w:i w:val="0"/>
          <w:sz w:val="22"/>
        </w:rPr>
        <w:t xml:space="preserve"> algún paciente la tiene en esa ventana, pero el fago se dirigió contra otro organismo, o el fagograma muestra que ningún fago del preparado es activo frente a su aislado.</w:t>
      </w:r>
    </w:p>
    <w:p>
      <w:pPr>
        <w:jc w:val="both"/>
      </w:pPr>
      <w:r>
        <w:rPr>
          <w:rFonts w:ascii="Times New Roman" w:hAnsi="Times New Roman"/>
          <w:b/>
          <w:i w:val="0"/>
          <w:sz w:val="22"/>
        </w:rPr>
        <w:t>Otras exclusiones por la intervención:</w:t>
      </w:r>
    </w:p>
    <w:p>
      <w:pPr>
        <w:pStyle w:val="ListBullet"/>
      </w:pPr>
      <w:r>
        <w:rPr>
          <w:rFonts w:ascii="Times New Roman" w:hAnsi="Times New Roman"/>
          <w:b/>
          <w:i w:val="0"/>
          <w:sz w:val="22"/>
        </w:rPr>
        <w:t>INT:</w:t>
      </w:r>
      <w:r>
        <w:rPr>
          <w:rFonts w:ascii="Times New Roman" w:hAnsi="Times New Roman"/>
          <w:b w:val="0"/>
          <w:i w:val="0"/>
          <w:sz w:val="22"/>
        </w:rPr>
        <w:t xml:space="preserve"> endolisinas, fagos no líticos y otros derivados sin la partícula viral.</w:t>
      </w:r>
    </w:p>
    <w:p>
      <w:pPr>
        <w:pStyle w:val="ListBullet"/>
      </w:pPr>
      <w:r>
        <w:rPr>
          <w:rFonts w:ascii="Times New Roman" w:hAnsi="Times New Roman"/>
          <w:b/>
          <w:i w:val="0"/>
          <w:sz w:val="22"/>
        </w:rPr>
        <w:t>OFF:</w:t>
      </w:r>
      <w:r>
        <w:rPr>
          <w:rFonts w:ascii="Times New Roman" w:hAnsi="Times New Roman"/>
          <w:b w:val="0"/>
          <w:i w:val="0"/>
          <w:sz w:val="22"/>
        </w:rPr>
        <w:t xml:space="preserve"> el informe no evalúa la administración de fagos a pacientes. Incluye encuestas, epidemiología, biobancos, prensa, el fago mencionado pero no administrado, u otra terapia.</w:t>
      </w:r>
    </w:p>
    <w:p>
      <w:pPr>
        <w:pStyle w:val="Heading3"/>
      </w:pPr>
      <w:r>
        <w:rPr>
          <w:rFonts w:ascii="Times New Roman" w:hAnsi="Times New Roman"/>
          <w:b w:val="0"/>
          <w:i w:val="0"/>
          <w:sz w:val="22"/>
        </w:rPr>
        <w:t>8.5 Comparador y desenlaces</w:t>
      </w:r>
    </w:p>
    <w:p>
      <w:pPr>
        <w:jc w:val="both"/>
      </w:pPr>
      <w:r>
        <w:rPr>
          <w:rFonts w:ascii="Times New Roman" w:hAnsi="Times New Roman"/>
          <w:b w:val="0"/>
          <w:i w:val="0"/>
          <w:sz w:val="22"/>
        </w:rPr>
        <w:t>No se exige comparador.</w:t>
      </w:r>
    </w:p>
    <w:p>
      <w:pPr>
        <w:jc w:val="both"/>
      </w:pPr>
      <w:r>
        <w:rPr>
          <w:rFonts w:ascii="Times New Roman" w:hAnsi="Times New Roman"/>
          <w:b w:val="0"/>
          <w:i w:val="0"/>
          <w:sz w:val="22"/>
        </w:rPr>
        <w:t xml:space="preserve">El estudio tiene que informar, para los pacientes con </w:t>
      </w:r>
      <w:r>
        <w:rPr>
          <w:rFonts w:ascii="Times New Roman" w:hAnsi="Times New Roman"/>
          <w:b w:val="0"/>
          <w:i/>
          <w:sz w:val="22"/>
        </w:rPr>
        <w:t>P. aeruginosa</w:t>
      </w:r>
      <w:r>
        <w:rPr>
          <w:rFonts w:ascii="Times New Roman" w:hAnsi="Times New Roman"/>
          <w:b w:val="0"/>
          <w:i w:val="0"/>
          <w:sz w:val="22"/>
        </w:rPr>
        <w:t xml:space="preserve"> tratados con fagos, al menos uno de estos cinco desenlaces, por separado o agregado con pacientes de otros organismos. Si solo lo da agregado, el estudio entra solo en las medidas de completitud (sección 8.3). DES se aplica solo si no informa ninguno, ni siquiera agregado.</w:t>
      </w:r>
    </w:p>
    <w:p>
      <w:pPr>
        <w:jc w:val="both"/>
      </w:pPr>
      <w:r>
        <w:rPr>
          <w:rFonts w:ascii="Times New Roman" w:hAnsi="Times New Roman"/>
          <w:b w:val="0"/>
          <w:i w:val="0"/>
          <w:sz w:val="22"/>
        </w:rPr>
        <w:t>Van en orden de prioridad, con sus definiciones completas en el anexo B:</w:t>
      </w:r>
    </w:p>
    <w:p>
      <w:pPr>
        <w:pStyle w:val="ListNumber"/>
      </w:pPr>
      <w:r>
        <w:rPr>
          <w:rFonts w:ascii="Times New Roman" w:hAnsi="Times New Roman"/>
          <w:b/>
          <w:i w:val="0"/>
          <w:sz w:val="22"/>
        </w:rPr>
        <w:t>Éxito clínico.</w:t>
      </w:r>
      <w:r>
        <w:rPr>
          <w:rFonts w:ascii="Times New Roman" w:hAnsi="Times New Roman"/>
          <w:b w:val="0"/>
          <w:i w:val="0"/>
          <w:sz w:val="22"/>
        </w:rPr>
        <w:t xml:space="preserve"> Pacientes que mejoraron según la definición del propio autor. Si el artículo no da una definición operativa (anexo B), se anota SIN DEFINICIÓN OPERATIVA, y la cifra se extrae si el artículo permite contarla.</w:t>
      </w:r>
    </w:p>
    <w:p>
      <w:pPr>
        <w:pStyle w:val="ListNumber"/>
      </w:pPr>
      <w:r>
        <w:rPr>
          <w:rFonts w:ascii="Times New Roman" w:hAnsi="Times New Roman"/>
          <w:b/>
          <w:i w:val="0"/>
          <w:sz w:val="22"/>
        </w:rPr>
        <w:t>Erradicación microbiológica.</w:t>
      </w:r>
      <w:r>
        <w:rPr>
          <w:rFonts w:ascii="Times New Roman" w:hAnsi="Times New Roman"/>
          <w:b w:val="0"/>
          <w:i w:val="0"/>
          <w:sz w:val="22"/>
        </w:rPr>
        <w:t xml:space="preserve"> Cultivo de control negativo para el aislado resistente que motivó el tratamiento, del mismo sitio y posterior al fin de la fagoterapia, con denominador propio y persistencia a 30 días.</w:t>
      </w:r>
    </w:p>
    <w:p>
      <w:pPr>
        <w:pStyle w:val="ListNumber"/>
      </w:pPr>
      <w:r>
        <w:rPr>
          <w:rFonts w:ascii="Times New Roman" w:hAnsi="Times New Roman"/>
          <w:b/>
          <w:i w:val="0"/>
          <w:sz w:val="22"/>
        </w:rPr>
        <w:t>Eventos adversos.</w:t>
      </w:r>
      <w:r>
        <w:rPr>
          <w:rFonts w:ascii="Times New Roman" w:hAnsi="Times New Roman"/>
          <w:b w:val="0"/>
          <w:i w:val="0"/>
          <w:sz w:val="22"/>
        </w:rPr>
        <w:t xml:space="preserve"> Pacientes con algún evento adverso atribuido o no al fago.</w:t>
      </w:r>
    </w:p>
    <w:p>
      <w:pPr>
        <w:pStyle w:val="ListNumber"/>
      </w:pPr>
      <w:r>
        <w:rPr>
          <w:rFonts w:ascii="Times New Roman" w:hAnsi="Times New Roman"/>
          <w:b/>
          <w:i w:val="0"/>
          <w:sz w:val="22"/>
        </w:rPr>
        <w:t>Mortalidad.</w:t>
      </w:r>
      <w:r>
        <w:rPr>
          <w:rFonts w:ascii="Times New Roman" w:hAnsi="Times New Roman"/>
          <w:b w:val="0"/>
          <w:i w:val="0"/>
          <w:sz w:val="22"/>
        </w:rPr>
        <w:t xml:space="preserve"> Fallecidos durante el seguimiento.</w:t>
      </w:r>
    </w:p>
    <w:p>
      <w:pPr>
        <w:pStyle w:val="ListNumber"/>
      </w:pPr>
      <w:r>
        <w:rPr>
          <w:rFonts w:ascii="Times New Roman" w:hAnsi="Times New Roman"/>
          <w:b/>
          <w:i w:val="0"/>
          <w:sz w:val="22"/>
        </w:rPr>
        <w:t>Emergencia de resistencia al fago.</w:t>
      </w:r>
      <w:r>
        <w:rPr>
          <w:rFonts w:ascii="Times New Roman" w:hAnsi="Times New Roman"/>
          <w:b w:val="0"/>
          <w:i w:val="0"/>
          <w:sz w:val="22"/>
        </w:rPr>
        <w:t xml:space="preserve"> Pacientes en que aparece durante el tratamiento.</w:t>
      </w:r>
    </w:p>
    <w:p>
      <w:pPr>
        <w:jc w:val="both"/>
      </w:pPr>
      <w:r>
        <w:rPr>
          <w:rFonts w:ascii="Times New Roman" w:hAnsi="Times New Roman"/>
          <w:b/>
          <w:i w:val="0"/>
          <w:sz w:val="22"/>
        </w:rPr>
        <w:t>Desenlace principal de la revisión:</w:t>
      </w:r>
      <w:r>
        <w:rPr>
          <w:rFonts w:ascii="Times New Roman" w:hAnsi="Times New Roman"/>
          <w:b w:val="0"/>
          <w:i w:val="0"/>
          <w:sz w:val="22"/>
        </w:rPr>
        <w:t xml:space="preserve"> la proporción de brazos que informan el éxito clínico con numerador, denominador y definición operativa. Los demás resultados de la sección 16.1 son secundarios.</w:t>
      </w:r>
    </w:p>
    <w:p>
      <w:pPr>
        <w:pStyle w:val="Heading3"/>
      </w:pPr>
      <w:r>
        <w:rPr>
          <w:rFonts w:ascii="Times New Roman" w:hAnsi="Times New Roman"/>
          <w:b w:val="0"/>
          <w:i w:val="0"/>
          <w:sz w:val="22"/>
        </w:rPr>
        <w:t>8.6 Características del informe</w:t>
      </w:r>
    </w:p>
    <w:p>
      <w:pPr>
        <w:pStyle w:val="ListBullet"/>
      </w:pPr>
      <w:r>
        <w:rPr>
          <w:rFonts w:ascii="Times New Roman" w:hAnsi="Times New Roman"/>
          <w:b/>
          <w:i w:val="0"/>
          <w:sz w:val="22"/>
        </w:rPr>
        <w:t>Año de publicación:</w:t>
      </w:r>
      <w:r>
        <w:rPr>
          <w:rFonts w:ascii="Times New Roman" w:hAnsi="Times New Roman"/>
          <w:b w:val="0"/>
          <w:i w:val="0"/>
          <w:sz w:val="22"/>
        </w:rPr>
        <w:t xml:space="preserve"> de 2016 a 2026 (FEC; sección 12.1). El año del estudio es el de su informe de extracción (sección 14.1).</w:t>
      </w:r>
    </w:p>
    <w:p>
      <w:pPr>
        <w:pStyle w:val="ListBullet"/>
      </w:pPr>
      <w:r>
        <w:rPr>
          <w:rFonts w:ascii="Times New Roman" w:hAnsi="Times New Roman"/>
          <w:b/>
          <w:i w:val="0"/>
          <w:sz w:val="22"/>
        </w:rPr>
        <w:t>Idioma.</w:t>
      </w:r>
    </w:p>
    <w:p>
      <w:pPr>
        <w:pStyle w:val="ListBullet2"/>
      </w:pPr>
      <w:r>
        <w:rPr>
          <w:rFonts w:ascii="Times New Roman" w:hAnsi="Times New Roman"/>
          <w:b w:val="0"/>
          <w:i w:val="0"/>
          <w:sz w:val="22"/>
        </w:rPr>
        <w:t xml:space="preserve">El texto completo tiene que estar redactado en inglés o en español. Se comprueba sobre el </w:t>
      </w:r>
      <w:r>
        <w:rPr>
          <w:rFonts w:ascii="Times New Roman" w:hAnsi="Times New Roman"/>
          <w:b/>
          <w:i w:val="0"/>
          <w:sz w:val="22"/>
        </w:rPr>
        <w:t>cuerpo del artículo concreto</w:t>
      </w:r>
      <w:r>
        <w:rPr>
          <w:rFonts w:ascii="Times New Roman" w:hAnsi="Times New Roman"/>
          <w:b w:val="0"/>
          <w:i w:val="0"/>
          <w:sz w:val="22"/>
        </w:rPr>
        <w:t xml:space="preserve"> y sin traducción automática, no sobre el título, el resumen, los metadatos ni la revista (IDI, solo a texto completo).</w:t>
      </w:r>
    </w:p>
    <w:p>
      <w:pPr>
        <w:pStyle w:val="ListBullet2"/>
      </w:pPr>
      <w:r>
        <w:rPr>
          <w:rFonts w:ascii="Times New Roman" w:hAnsi="Times New Roman"/>
          <w:b w:val="0"/>
          <w:i w:val="0"/>
          <w:sz w:val="22"/>
        </w:rPr>
        <w:t>Si existe una versión íntegra en inglés o español de ese artículo y no se obtiene, el código es NOTXT, no IDI.</w:t>
      </w:r>
    </w:p>
    <w:p>
      <w:pPr>
        <w:pStyle w:val="ListBullet"/>
      </w:pPr>
      <w:r>
        <w:rPr>
          <w:rFonts w:ascii="Times New Roman" w:hAnsi="Times New Roman"/>
          <w:b/>
          <w:i w:val="0"/>
          <w:sz w:val="22"/>
        </w:rPr>
        <w:t>Texto completo admisible:</w:t>
      </w:r>
    </w:p>
    <w:p>
      <w:pPr>
        <w:pStyle w:val="ListBullet2"/>
      </w:pPr>
      <w:r>
        <w:rPr>
          <w:rFonts w:ascii="Times New Roman" w:hAnsi="Times New Roman"/>
          <w:b w:val="0"/>
          <w:i w:val="0"/>
          <w:sz w:val="22"/>
        </w:rPr>
        <w:t>Cumple el texto íntegro de un artículo publicado en revista: PDF o HTML del editor, de PMC o de Europe PMC, o el manuscrito aceptado del autor en un repositorio. Las cartas con datos de pacientes son artículos publicados.</w:t>
      </w:r>
    </w:p>
    <w:p>
      <w:pPr>
        <w:pStyle w:val="ListBullet2"/>
      </w:pPr>
      <w:r>
        <w:rPr>
          <w:rFonts w:ascii="Times New Roman" w:hAnsi="Times New Roman"/>
          <w:b w:val="0"/>
          <w:i w:val="0"/>
          <w:sz w:val="22"/>
        </w:rPr>
        <w:t>No cumplen (NOTXT): la versión enviada de un artículo publicado, los preprints sin versión publicada, las tesis, los resúmenes de congreso y las fichas de registro sin artículo.</w:t>
      </w:r>
    </w:p>
    <w:p>
      <w:pPr>
        <w:pStyle w:val="ListBullet2"/>
      </w:pPr>
      <w:r>
        <w:rPr>
          <w:rFonts w:ascii="Times New Roman" w:hAnsi="Times New Roman"/>
          <w:b w:val="0"/>
          <w:i w:val="0"/>
          <w:sz w:val="22"/>
        </w:rPr>
        <w:t>Toda lectura en HTML se archiva como copia fechada.</w:t>
      </w:r>
    </w:p>
    <w:p>
      <w:pPr>
        <w:pStyle w:val="ListBullet2"/>
      </w:pPr>
      <w:r>
        <w:rPr>
          <w:rFonts w:ascii="Times New Roman" w:hAnsi="Times New Roman"/>
          <w:b w:val="0"/>
          <w:i w:val="0"/>
          <w:sz w:val="22"/>
        </w:rPr>
        <w:t>El material suplementario se busca por las mismas vías cuando el artículo remite a él para un dato que se extrae.</w:t>
      </w:r>
    </w:p>
    <w:p>
      <w:pPr>
        <w:pStyle w:val="Heading3"/>
      </w:pPr>
      <w:r>
        <w:rPr>
          <w:rFonts w:ascii="Times New Roman" w:hAnsi="Times New Roman"/>
          <w:b w:val="0"/>
          <w:i w:val="0"/>
          <w:sz w:val="22"/>
        </w:rPr>
        <w:t>8.7 Registros de ensayos</w:t>
      </w:r>
    </w:p>
    <w:p>
      <w:pPr>
        <w:jc w:val="both"/>
      </w:pPr>
      <w:r>
        <w:rPr>
          <w:rFonts w:ascii="Times New Roman" w:hAnsi="Times New Roman"/>
          <w:b w:val="0"/>
          <w:i w:val="0"/>
          <w:sz w:val="22"/>
        </w:rPr>
        <w:t xml:space="preserve">Se buscan igual que las bases bibliográficas, por dos motivos: para enlazar cada ficha con su publicación (sección 12.3) y para </w:t>
      </w:r>
      <w:r>
        <w:rPr>
          <w:rFonts w:ascii="Times New Roman" w:hAnsi="Times New Roman"/>
          <w:b/>
          <w:i w:val="0"/>
          <w:sz w:val="22"/>
        </w:rPr>
        <w:t>contar</w:t>
      </w:r>
      <w:r>
        <w:rPr>
          <w:rFonts w:ascii="Times New Roman" w:hAnsi="Times New Roman"/>
          <w:b w:val="0"/>
          <w:i w:val="0"/>
          <w:sz w:val="22"/>
        </w:rPr>
        <w:t xml:space="preserve"> los estudios registrados sin publicación (sección 16.6). Una ficha sin artículo sale del corpus con NOTXT, pero antes se comprueba contra las secciones 8.2 a 8.5 sobre la ficha completa descargada del registro (sección 8.9).</w:t>
      </w:r>
    </w:p>
    <w:p>
      <w:pPr>
        <w:pStyle w:val="Heading3"/>
      </w:pPr>
      <w:r>
        <w:rPr>
          <w:rFonts w:ascii="Times New Roman" w:hAnsi="Times New Roman"/>
          <w:b w:val="0"/>
          <w:i w:val="0"/>
          <w:sz w:val="22"/>
        </w:rPr>
        <w:t>8.8 Vocabulario cerrado de motivos de exclusión</w:t>
      </w:r>
    </w:p>
    <w:p>
      <w:pPr>
        <w:jc w:val="both"/>
      </w:pPr>
      <w:r>
        <w:rPr>
          <w:rFonts w:ascii="Times New Roman" w:hAnsi="Times New Roman"/>
          <w:b w:val="0"/>
          <w:i w:val="0"/>
          <w:sz w:val="22"/>
        </w:rPr>
        <w:t>| Código | Motivo | Etapas en que se usa |</w:t>
      </w:r>
    </w:p>
    <w:p>
      <w:pPr>
        <w:jc w:val="both"/>
      </w:pPr>
      <w:r>
        <w:rPr>
          <w:rFonts w:ascii="Times New Roman" w:hAnsi="Times New Roman"/>
          <w:b w:val="0"/>
          <w:i w:val="0"/>
          <w:sz w:val="22"/>
        </w:rPr>
        <w:t>|---|---|---|</w:t>
      </w:r>
    </w:p>
    <w:p>
      <w:pPr>
        <w:jc w:val="both"/>
      </w:pPr>
      <w:r>
        <w:rPr>
          <w:rFonts w:ascii="Times New Roman" w:hAnsi="Times New Roman"/>
          <w:b w:val="0"/>
          <w:i w:val="0"/>
          <w:sz w:val="22"/>
        </w:rPr>
        <w:t>| FEC | publicado antes de 2016 | 1 (solo por regla), 4 |</w:t>
      </w:r>
    </w:p>
    <w:p>
      <w:pPr>
        <w:jc w:val="both"/>
      </w:pPr>
      <w:r>
        <w:rPr>
          <w:rFonts w:ascii="Times New Roman" w:hAnsi="Times New Roman"/>
          <w:b w:val="0"/>
          <w:i w:val="0"/>
          <w:sz w:val="22"/>
        </w:rPr>
        <w:t xml:space="preserve">| ORG | ningún paciente con </w:t>
      </w:r>
      <w:r>
        <w:rPr>
          <w:rFonts w:ascii="Times New Roman" w:hAnsi="Times New Roman"/>
          <w:b w:val="0"/>
          <w:i/>
          <w:sz w:val="22"/>
        </w:rPr>
        <w:t>P. aeruginosa</w:t>
      </w:r>
      <w:r>
        <w:rPr>
          <w:rFonts w:ascii="Times New Roman" w:hAnsi="Times New Roman"/>
          <w:b w:val="0"/>
          <w:i w:val="0"/>
          <w:sz w:val="22"/>
        </w:rPr>
        <w:t xml:space="preserve">, o datos no separables (8.3, 8.4) | 2 y 3 (solo cuando ningún paciente tiene </w:t>
      </w:r>
      <w:r>
        <w:rPr>
          <w:rFonts w:ascii="Times New Roman" w:hAnsi="Times New Roman"/>
          <w:b w:val="0"/>
          <w:i/>
          <w:sz w:val="22"/>
        </w:rPr>
        <w:t>P. aeruginosa</w:t>
      </w:r>
      <w:r>
        <w:rPr>
          <w:rFonts w:ascii="Times New Roman" w:hAnsi="Times New Roman"/>
          <w:b w:val="0"/>
          <w:i w:val="0"/>
          <w:sz w:val="22"/>
        </w:rPr>
        <w:t>), 4 |</w:t>
      </w:r>
    </w:p>
    <w:p>
      <w:pPr>
        <w:jc w:val="both"/>
      </w:pPr>
      <w:r>
        <w:rPr>
          <w:rFonts w:ascii="Times New Roman" w:hAnsi="Times New Roman"/>
          <w:b w:val="0"/>
          <w:i w:val="0"/>
          <w:sz w:val="22"/>
        </w:rPr>
        <w:t xml:space="preserve">| DIA | fago no dirigido contra </w:t>
      </w:r>
      <w:r>
        <w:rPr>
          <w:rFonts w:ascii="Times New Roman" w:hAnsi="Times New Roman"/>
          <w:b w:val="0"/>
          <w:i/>
          <w:sz w:val="22"/>
        </w:rPr>
        <w:t>P. aeruginosa</w:t>
      </w:r>
      <w:r>
        <w:rPr>
          <w:rFonts w:ascii="Times New Roman" w:hAnsi="Times New Roman"/>
          <w:b w:val="0"/>
          <w:i w:val="0"/>
          <w:sz w:val="22"/>
        </w:rPr>
        <w:t xml:space="preserve"> (8.4) | 4 |</w:t>
      </w:r>
    </w:p>
    <w:p>
      <w:pPr>
        <w:jc w:val="both"/>
      </w:pPr>
      <w:r>
        <w:rPr>
          <w:rFonts w:ascii="Times New Roman" w:hAnsi="Times New Roman"/>
          <w:b w:val="0"/>
          <w:i w:val="0"/>
          <w:sz w:val="22"/>
        </w:rPr>
        <w:t>| REV | sin datos primarios propios: revisión narrativa, editorial, comentario | 2, 3, 4 |</w:t>
      </w:r>
    </w:p>
    <w:p>
      <w:pPr>
        <w:jc w:val="both"/>
      </w:pPr>
      <w:r>
        <w:rPr>
          <w:rFonts w:ascii="Times New Roman" w:hAnsi="Times New Roman"/>
          <w:b w:val="0"/>
          <w:i w:val="0"/>
          <w:sz w:val="22"/>
        </w:rPr>
        <w:t>| SEC | revisión sistemática o de alcance | 2, 3, 4 |</w:t>
      </w:r>
    </w:p>
    <w:p>
      <w:pPr>
        <w:jc w:val="both"/>
      </w:pPr>
      <w:r>
        <w:rPr>
          <w:rFonts w:ascii="Times New Roman" w:hAnsi="Times New Roman"/>
          <w:b w:val="0"/>
          <w:i w:val="0"/>
          <w:sz w:val="22"/>
        </w:rPr>
        <w:t>| LAB | laboratorio, preclínico o modelización, incluidos los modelos animales de laboratorio | 2, 3, 4 |</w:t>
      </w:r>
    </w:p>
    <w:p>
      <w:pPr>
        <w:jc w:val="both"/>
      </w:pPr>
      <w:r>
        <w:rPr>
          <w:rFonts w:ascii="Times New Roman" w:hAnsi="Times New Roman"/>
          <w:b w:val="0"/>
          <w:i w:val="0"/>
          <w:sz w:val="22"/>
        </w:rPr>
        <w:t>| VET | animales de granja o de compañía, o aislados veterinarios | 2, 3, 4 |</w:t>
      </w:r>
    </w:p>
    <w:p>
      <w:pPr>
        <w:jc w:val="both"/>
      </w:pPr>
      <w:r>
        <w:rPr>
          <w:rFonts w:ascii="Times New Roman" w:hAnsi="Times New Roman"/>
          <w:b w:val="0"/>
          <w:i w:val="0"/>
          <w:sz w:val="22"/>
        </w:rPr>
        <w:t>| OFF | no evalúa la administración de fagos a pacientes (8.4) | 2, 3, 4 |</w:t>
      </w:r>
    </w:p>
    <w:p>
      <w:pPr>
        <w:jc w:val="both"/>
      </w:pPr>
      <w:r>
        <w:rPr>
          <w:rFonts w:ascii="Times New Roman" w:hAnsi="Times New Roman"/>
          <w:b w:val="0"/>
          <w:i w:val="0"/>
          <w:sz w:val="22"/>
        </w:rPr>
        <w:t>| PRF | profilaxis (8.3) | 2, 3, 4 |</w:t>
      </w:r>
    </w:p>
    <w:p>
      <w:pPr>
        <w:jc w:val="both"/>
      </w:pPr>
      <w:r>
        <w:rPr>
          <w:rFonts w:ascii="Times New Roman" w:hAnsi="Times New Roman"/>
          <w:b w:val="0"/>
          <w:i w:val="0"/>
          <w:sz w:val="22"/>
        </w:rPr>
        <w:t>| PRO | protocolo sin resultados | 4 |</w:t>
      </w:r>
    </w:p>
    <w:p>
      <w:pPr>
        <w:jc w:val="both"/>
      </w:pPr>
      <w:r>
        <w:rPr>
          <w:rFonts w:ascii="Times New Roman" w:hAnsi="Times New Roman"/>
          <w:b w:val="0"/>
          <w:i w:val="0"/>
          <w:sz w:val="22"/>
        </w:rPr>
        <w:t>| INT | la intervención no es un bacteriófago lítico | 4 |</w:t>
      </w:r>
    </w:p>
    <w:p>
      <w:pPr>
        <w:jc w:val="both"/>
      </w:pPr>
      <w:r>
        <w:rPr>
          <w:rFonts w:ascii="Times New Roman" w:hAnsi="Times New Roman"/>
          <w:b w:val="0"/>
          <w:i w:val="0"/>
          <w:sz w:val="22"/>
        </w:rPr>
        <w:t>| DES | ninguno de los cinco desenlaces, ni siquiera agregado | 4 |</w:t>
      </w:r>
    </w:p>
    <w:p>
      <w:pPr>
        <w:jc w:val="both"/>
      </w:pPr>
      <w:r>
        <w:rPr>
          <w:rFonts w:ascii="Times New Roman" w:hAnsi="Times New Roman"/>
          <w:b w:val="0"/>
          <w:i w:val="0"/>
          <w:sz w:val="22"/>
        </w:rPr>
        <w:t>| IDI | cuerpo del artículo ni en inglés ni en español | 4 |</w:t>
      </w:r>
    </w:p>
    <w:p>
      <w:pPr>
        <w:jc w:val="both"/>
      </w:pPr>
      <w:r>
        <w:rPr>
          <w:rFonts w:ascii="Times New Roman" w:hAnsi="Times New Roman"/>
          <w:b w:val="0"/>
          <w:i w:val="0"/>
          <w:sz w:val="22"/>
        </w:rPr>
        <w:t>| NOTXT | sin texto completo admisible (8.6) | 4 |</w:t>
      </w:r>
    </w:p>
    <w:p>
      <w:pPr>
        <w:jc w:val="both"/>
      </w:pPr>
      <w:r>
        <w:rPr>
          <w:rFonts w:ascii="Times New Roman" w:hAnsi="Times New Roman"/>
          <w:b w:val="0"/>
          <w:i w:val="0"/>
          <w:sz w:val="22"/>
        </w:rPr>
        <w:t xml:space="preserve">Un registro que no encaja en ningún código </w:t>
      </w:r>
      <w:r>
        <w:rPr>
          <w:rFonts w:ascii="Times New Roman" w:hAnsi="Times New Roman"/>
          <w:b/>
          <w:i w:val="0"/>
          <w:sz w:val="22"/>
        </w:rPr>
        <w:t>avanza</w:t>
      </w:r>
      <w:r>
        <w:rPr>
          <w:rFonts w:ascii="Times New Roman" w:hAnsi="Times New Roman"/>
          <w:b w:val="0"/>
          <w:i w:val="0"/>
          <w:sz w:val="22"/>
        </w:rPr>
        <w:t>; no se excluye.</w:t>
      </w:r>
    </w:p>
    <w:p>
      <w:pPr>
        <w:pStyle w:val="Heading3"/>
      </w:pPr>
      <w:r>
        <w:rPr>
          <w:rFonts w:ascii="Times New Roman" w:hAnsi="Times New Roman"/>
          <w:b w:val="0"/>
          <w:i w:val="0"/>
          <w:sz w:val="22"/>
        </w:rPr>
        <w:t>8.9 Precedencia entre motivos</w:t>
      </w:r>
    </w:p>
    <w:p>
      <w:pPr>
        <w:jc w:val="both"/>
      </w:pPr>
      <w:r>
        <w:rPr>
          <w:rFonts w:ascii="Times New Roman" w:hAnsi="Times New Roman"/>
          <w:b w:val="0"/>
          <w:i w:val="0"/>
          <w:sz w:val="22"/>
        </w:rPr>
        <w:t>Si un estudio incumple varios criterios, se registra el primero de este orden y los demás se anotan como motivos secundarios:</w:t>
      </w:r>
    </w:p>
    <w:p>
      <w:pPr>
        <w:pStyle w:val="ListNumber"/>
      </w:pPr>
      <w:r>
        <w:rPr>
          <w:rFonts w:ascii="Times New Roman" w:hAnsi="Times New Roman"/>
          <w:b w:val="0"/>
          <w:i w:val="0"/>
          <w:sz w:val="22"/>
        </w:rPr>
        <w:t>FEC.</w:t>
      </w:r>
    </w:p>
    <w:p>
      <w:pPr>
        <w:pStyle w:val="ListNumber"/>
      </w:pPr>
      <w:r>
        <w:rPr>
          <w:rFonts w:ascii="Times New Roman" w:hAnsi="Times New Roman"/>
          <w:b/>
          <w:i w:val="0"/>
          <w:sz w:val="22"/>
        </w:rPr>
        <w:t>Si no hay texto completo admisible:</w:t>
      </w:r>
      <w:r>
        <w:rPr>
          <w:rFonts w:ascii="Times New Roman" w:hAnsi="Times New Roman"/>
          <w:b w:val="0"/>
          <w:i w:val="0"/>
          <w:sz w:val="22"/>
        </w:rPr>
        <w:t xml:space="preserve"> los criterios de 8.2 a 8.5 que puedan comprobarse sobre el informe disponible (resumen o ficha completa) y, si los cumple, NOTXT.</w:t>
      </w:r>
    </w:p>
    <w:p>
      <w:pPr>
        <w:pStyle w:val="ListNumber"/>
      </w:pPr>
      <w:r>
        <w:rPr>
          <w:rFonts w:ascii="Times New Roman" w:hAnsi="Times New Roman"/>
          <w:b/>
          <w:i w:val="0"/>
          <w:sz w:val="22"/>
        </w:rPr>
        <w:t>Si hay texto completo y su cuerpo no está en inglés ni en español:</w:t>
      </w:r>
      <w:r>
        <w:rPr>
          <w:rFonts w:ascii="Times New Roman" w:hAnsi="Times New Roman"/>
          <w:b w:val="0"/>
          <w:i w:val="0"/>
          <w:sz w:val="22"/>
        </w:rPr>
        <w:t xml:space="preserve"> los criterios de 8.2 a 8.5 que puedan comprobarse sobre el resumen en inglés o español y, si los cumple, IDI, salvo el caso de la sección 8.6, que es NOTXT.</w:t>
      </w:r>
    </w:p>
    <w:p>
      <w:pPr>
        <w:pStyle w:val="ListNumber"/>
      </w:pPr>
      <w:r>
        <w:rPr>
          <w:rFonts w:ascii="Times New Roman" w:hAnsi="Times New Roman"/>
          <w:b/>
          <w:i w:val="0"/>
          <w:sz w:val="22"/>
        </w:rPr>
        <w:t>Si hay texto completo en inglés o español:</w:t>
      </w:r>
      <w:r>
        <w:rPr>
          <w:rFonts w:ascii="Times New Roman" w:hAnsi="Times New Roman"/>
          <w:b w:val="0"/>
          <w:i w:val="0"/>
          <w:sz w:val="22"/>
        </w:rPr>
        <w:t xml:space="preserve"> PRO, REV, SEC, LAB, VET, INT, OFF o PRF, ORG o DIA, y DES.</w:t>
      </w:r>
    </w:p>
    <w:p>
      <w:pPr>
        <w:pStyle w:val="Heading2"/>
      </w:pPr>
      <w:r>
        <w:rPr>
          <w:rFonts w:ascii="Times New Roman" w:hAnsi="Times New Roman"/>
          <w:b w:val="0"/>
          <w:i w:val="0"/>
          <w:sz w:val="26"/>
        </w:rPr>
        <w:t>9. Fuentes de información</w:t>
      </w:r>
    </w:p>
    <w:p>
      <w:pPr>
        <w:jc w:val="both"/>
      </w:pPr>
      <w:r>
        <w:rPr>
          <w:rFonts w:ascii="Times New Roman" w:hAnsi="Times New Roman"/>
          <w:b/>
          <w:i w:val="0"/>
          <w:sz w:val="22"/>
        </w:rPr>
        <w:t>Bases bibliográficas:</w:t>
      </w:r>
    </w:p>
    <w:p>
      <w:pPr>
        <w:pStyle w:val="ListBullet"/>
      </w:pPr>
      <w:r>
        <w:rPr>
          <w:rFonts w:ascii="Times New Roman" w:hAnsi="Times New Roman"/>
          <w:b w:val="0"/>
          <w:i w:val="0"/>
          <w:sz w:val="22"/>
        </w:rPr>
        <w:t>PubMed;</w:t>
      </w:r>
    </w:p>
    <w:p>
      <w:pPr>
        <w:pStyle w:val="ListBullet"/>
      </w:pPr>
      <w:r>
        <w:rPr>
          <w:rFonts w:ascii="Times New Roman" w:hAnsi="Times New Roman"/>
          <w:b w:val="0"/>
          <w:i w:val="0"/>
          <w:sz w:val="22"/>
        </w:rPr>
        <w:t>Scopus;</w:t>
      </w:r>
    </w:p>
    <w:p>
      <w:pPr>
        <w:pStyle w:val="ListBullet"/>
      </w:pPr>
      <w:r>
        <w:rPr>
          <w:rFonts w:ascii="Times New Roman" w:hAnsi="Times New Roman"/>
          <w:b w:val="0"/>
          <w:i w:val="0"/>
          <w:sz w:val="22"/>
        </w:rPr>
        <w:t>Cochrane CENTRAL, vía Wiley;</w:t>
      </w:r>
    </w:p>
    <w:p>
      <w:pPr>
        <w:pStyle w:val="ListBullet"/>
      </w:pPr>
      <w:r>
        <w:rPr>
          <w:rFonts w:ascii="Times New Roman" w:hAnsi="Times New Roman"/>
          <w:b w:val="0"/>
          <w:i w:val="0"/>
          <w:sz w:val="22"/>
        </w:rPr>
        <w:t>portal BVS, excluida su colección MEDLINE;</w:t>
      </w:r>
    </w:p>
    <w:p>
      <w:pPr>
        <w:pStyle w:val="ListBullet"/>
      </w:pPr>
      <w:r>
        <w:rPr>
          <w:rFonts w:ascii="Times New Roman" w:hAnsi="Times New Roman"/>
          <w:b w:val="0"/>
          <w:i w:val="0"/>
          <w:sz w:val="22"/>
        </w:rPr>
        <w:t>SciELO.</w:t>
      </w:r>
    </w:p>
    <w:p>
      <w:pPr>
        <w:jc w:val="both"/>
      </w:pPr>
      <w:r>
        <w:rPr>
          <w:rFonts w:ascii="Times New Roman" w:hAnsi="Times New Roman"/>
          <w:b/>
          <w:i w:val="0"/>
          <w:sz w:val="22"/>
        </w:rPr>
        <w:t>Registros de ensayos:</w:t>
      </w:r>
      <w:r>
        <w:rPr>
          <w:rFonts w:ascii="Times New Roman" w:hAnsi="Times New Roman"/>
          <w:b w:val="0"/>
          <w:i w:val="0"/>
          <w:sz w:val="22"/>
        </w:rPr>
        <w:t xml:space="preserve"> ClinicalTrials.gov, EudraCT y CTIS.</w:t>
      </w:r>
    </w:p>
    <w:p>
      <w:pPr>
        <w:jc w:val="both"/>
      </w:pPr>
      <w:r>
        <w:rPr>
          <w:rFonts w:ascii="Times New Roman" w:hAnsi="Times New Roman"/>
          <w:b/>
          <w:i w:val="0"/>
          <w:sz w:val="22"/>
        </w:rPr>
        <w:t>Brazos de búsqueda.</w:t>
      </w:r>
      <w:r>
        <w:rPr>
          <w:rFonts w:ascii="Times New Roman" w:hAnsi="Times New Roman"/>
          <w:b w:val="0"/>
          <w:i w:val="0"/>
          <w:sz w:val="22"/>
        </w:rPr>
        <w:t xml:space="preserve"> PubMed, Scopus, CENTRAL y ClinicalTrials.gov se interrogan en dos brazos cada uno (anexo A):</w:t>
      </w:r>
    </w:p>
    <w:p>
      <w:pPr>
        <w:pStyle w:val="ListBullet"/>
      </w:pPr>
      <w:r>
        <w:rPr>
          <w:rFonts w:ascii="Times New Roman" w:hAnsi="Times New Roman"/>
          <w:b/>
          <w:i w:val="0"/>
          <w:sz w:val="22"/>
        </w:rPr>
        <w:t>A:</w:t>
      </w:r>
      <w:r>
        <w:rPr>
          <w:rFonts w:ascii="Times New Roman" w:hAnsi="Times New Roman"/>
          <w:b w:val="0"/>
          <w:i w:val="0"/>
          <w:sz w:val="22"/>
        </w:rPr>
        <w:t xml:space="preserve"> organismo e intervención.</w:t>
      </w:r>
    </w:p>
    <w:p>
      <w:pPr>
        <w:pStyle w:val="ListBullet"/>
      </w:pPr>
      <w:r>
        <w:rPr>
          <w:rFonts w:ascii="Times New Roman" w:hAnsi="Times New Roman"/>
          <w:b/>
          <w:i w:val="0"/>
          <w:sz w:val="22"/>
        </w:rPr>
        <w:t>B:</w:t>
      </w:r>
      <w:r>
        <w:rPr>
          <w:rFonts w:ascii="Times New Roman" w:hAnsi="Times New Roman"/>
          <w:b w:val="0"/>
          <w:i w:val="0"/>
          <w:sz w:val="22"/>
        </w:rPr>
        <w:t xml:space="preserve"> intervención, sin el organismo, para recuperar series multipatógeno que no lo nombran.</w:t>
      </w:r>
    </w:p>
    <w:p>
      <w:pPr>
        <w:jc w:val="both"/>
      </w:pPr>
      <w:r>
        <w:rPr>
          <w:rFonts w:ascii="Times New Roman" w:hAnsi="Times New Roman"/>
          <w:b/>
          <w:i w:val="0"/>
          <w:sz w:val="22"/>
        </w:rPr>
        <w:t>Lo que no se busca:</w:t>
      </w:r>
    </w:p>
    <w:p>
      <w:pPr>
        <w:pStyle w:val="ListBullet"/>
      </w:pPr>
      <w:r>
        <w:rPr>
          <w:rFonts w:ascii="Times New Roman" w:hAnsi="Times New Roman"/>
          <w:b/>
          <w:i w:val="0"/>
          <w:sz w:val="22"/>
        </w:rPr>
        <w:t>Fuera de la suscripción institucional:</w:t>
      </w:r>
      <w:r>
        <w:rPr>
          <w:rFonts w:ascii="Times New Roman" w:hAnsi="Times New Roman"/>
          <w:b w:val="0"/>
          <w:i w:val="0"/>
          <w:sz w:val="22"/>
        </w:rPr>
        <w:t xml:space="preserve"> Embase, Web of Science y EBSCO bibliográfica. Embase queda mitigada solo para ensayos controlados, por los registros de origen Embase que contiene CENTRAL.</w:t>
      </w:r>
    </w:p>
    <w:p>
      <w:pPr>
        <w:pStyle w:val="ListBullet"/>
      </w:pPr>
      <w:r>
        <w:rPr>
          <w:rFonts w:ascii="Times New Roman" w:hAnsi="Times New Roman"/>
          <w:b/>
          <w:i w:val="0"/>
          <w:sz w:val="22"/>
        </w:rPr>
        <w:t>Disponibles y no interrogadas:</w:t>
      </w:r>
      <w:r>
        <w:rPr>
          <w:rFonts w:ascii="Times New Roman" w:hAnsi="Times New Roman"/>
          <w:b w:val="0"/>
          <w:i w:val="0"/>
          <w:sz w:val="22"/>
        </w:rPr>
        <w:t xml:space="preserve"> ProQuest y el ICTRP de la OMS. Se declara como limitación.</w:t>
      </w:r>
    </w:p>
    <w:p>
      <w:pPr>
        <w:pStyle w:val="ListBullet"/>
      </w:pPr>
      <w:r>
        <w:rPr>
          <w:rFonts w:ascii="Times New Roman" w:hAnsi="Times New Roman"/>
          <w:b/>
          <w:i w:val="0"/>
          <w:sz w:val="22"/>
        </w:rPr>
        <w:t>Ovid MEDLINE:</w:t>
      </w:r>
      <w:r>
        <w:rPr>
          <w:rFonts w:ascii="Times New Roman" w:hAnsi="Times New Roman"/>
          <w:b w:val="0"/>
          <w:i w:val="0"/>
          <w:sz w:val="22"/>
        </w:rPr>
        <w:t xml:space="preserve"> no se cuenta como fuente adicional, porque es el mismo contenido que PubMed.</w:t>
      </w:r>
    </w:p>
    <w:p>
      <w:pPr>
        <w:jc w:val="both"/>
      </w:pPr>
      <w:r>
        <w:rPr>
          <w:rFonts w:ascii="Times New Roman" w:hAnsi="Times New Roman"/>
          <w:b/>
          <w:i w:val="0"/>
          <w:sz w:val="22"/>
        </w:rPr>
        <w:t>Otras estrategias.</w:t>
      </w:r>
      <w:r>
        <w:rPr>
          <w:rFonts w:ascii="Times New Roman" w:hAnsi="Times New Roman"/>
          <w:b w:val="0"/>
          <w:i w:val="0"/>
          <w:sz w:val="22"/>
        </w:rPr>
        <w:t xml:space="preserve"> No se revisan listas de referencias ni citas posteriores, ni se busca por nombre de producto, y se declara como limitación. La búsqueda exploratoria por nombre de producto del piloto, que encontró 113 PMID ausentes de su corpus de PubMed (9 561 registros), no se repite.</w:t>
      </w:r>
    </w:p>
    <w:p>
      <w:pPr>
        <w:pStyle w:val="Heading2"/>
      </w:pPr>
      <w:r>
        <w:rPr>
          <w:rFonts w:ascii="Times New Roman" w:hAnsi="Times New Roman"/>
          <w:b w:val="0"/>
          <w:i w:val="0"/>
          <w:sz w:val="26"/>
        </w:rPr>
        <w:t>10. Estrategia de búsqueda</w:t>
      </w:r>
    </w:p>
    <w:p>
      <w:pPr>
        <w:jc w:val="both"/>
      </w:pPr>
      <w:r>
        <w:rPr>
          <w:rFonts w:ascii="Times New Roman" w:hAnsi="Times New Roman"/>
          <w:b w:val="0"/>
          <w:i w:val="0"/>
          <w:sz w:val="22"/>
        </w:rPr>
        <w:t>Se ejecutan las ecuaciones literales del anexo A con la fecha de la fase definitiva.</w:t>
      </w:r>
    </w:p>
    <w:p>
      <w:pPr>
        <w:jc w:val="both"/>
      </w:pPr>
      <w:r>
        <w:rPr>
          <w:rFonts w:ascii="Times New Roman" w:hAnsi="Times New Roman"/>
          <w:b/>
          <w:i w:val="0"/>
          <w:sz w:val="22"/>
        </w:rPr>
        <w:t>CTIS.</w:t>
      </w:r>
      <w:r>
        <w:rPr>
          <w:rFonts w:ascii="Times New Roman" w:hAnsi="Times New Roman"/>
          <w:b w:val="0"/>
          <w:i w:val="0"/>
          <w:sz w:val="22"/>
        </w:rPr>
        <w:t xml:space="preserve"> Su buscador casa palabras completas y no hace OR, así que se interroga con un término por búsqueda (</w:t>
      </w:r>
      <w:r>
        <w:rPr>
          <w:rFonts w:ascii="Times New Roman" w:hAnsi="Times New Roman"/>
          <w:b w:val="0"/>
          <w:i/>
          <w:sz w:val="22"/>
        </w:rPr>
        <w:t>bacteriophage</w:t>
      </w:r>
      <w:r>
        <w:rPr>
          <w:rFonts w:ascii="Times New Roman" w:hAnsi="Times New Roman"/>
          <w:b w:val="0"/>
          <w:i w:val="0"/>
          <w:sz w:val="22"/>
        </w:rPr>
        <w:t xml:space="preserve">, </w:t>
      </w:r>
      <w:r>
        <w:rPr>
          <w:rFonts w:ascii="Times New Roman" w:hAnsi="Times New Roman"/>
          <w:b w:val="0"/>
          <w:i/>
          <w:sz w:val="22"/>
        </w:rPr>
        <w:t>bacteriophages</w:t>
      </w:r>
      <w:r>
        <w:rPr>
          <w:rFonts w:ascii="Times New Roman" w:hAnsi="Times New Roman"/>
          <w:b w:val="0"/>
          <w:i w:val="0"/>
          <w:sz w:val="22"/>
        </w:rPr>
        <w:t xml:space="preserve">, </w:t>
      </w:r>
      <w:r>
        <w:rPr>
          <w:rFonts w:ascii="Times New Roman" w:hAnsi="Times New Roman"/>
          <w:b w:val="0"/>
          <w:i/>
          <w:sz w:val="22"/>
        </w:rPr>
        <w:t>phage</w:t>
      </w:r>
      <w:r>
        <w:rPr>
          <w:rFonts w:ascii="Times New Roman" w:hAnsi="Times New Roman"/>
          <w:b w:val="0"/>
          <w:i w:val="0"/>
          <w:sz w:val="22"/>
        </w:rPr>
        <w:t xml:space="preserve">, </w:t>
      </w:r>
      <w:r>
        <w:rPr>
          <w:rFonts w:ascii="Times New Roman" w:hAnsi="Times New Roman"/>
          <w:b w:val="0"/>
          <w:i/>
          <w:sz w:val="22"/>
        </w:rPr>
        <w:t>phages</w:t>
      </w:r>
      <w:r>
        <w:rPr>
          <w:rFonts w:ascii="Times New Roman" w:hAnsi="Times New Roman"/>
          <w:b w:val="0"/>
          <w:i w:val="0"/>
          <w:sz w:val="22"/>
        </w:rPr>
        <w:t xml:space="preserve">, </w:t>
      </w:r>
      <w:r>
        <w:rPr>
          <w:rFonts w:ascii="Times New Roman" w:hAnsi="Times New Roman"/>
          <w:b w:val="0"/>
          <w:i/>
          <w:sz w:val="22"/>
        </w:rPr>
        <w:t>phagotherapy</w:t>
      </w:r>
      <w:r>
        <w:rPr>
          <w:rFonts w:ascii="Times New Roman" w:hAnsi="Times New Roman"/>
          <w:b w:val="0"/>
          <w:i w:val="0"/>
          <w:sz w:val="22"/>
        </w:rPr>
        <w:t xml:space="preserve">, </w:t>
      </w:r>
      <w:r>
        <w:rPr>
          <w:rFonts w:ascii="Times New Roman" w:hAnsi="Times New Roman"/>
          <w:b w:val="0"/>
          <w:i/>
          <w:sz w:val="22"/>
        </w:rPr>
        <w:t>pyophage</w:t>
      </w:r>
      <w:r>
        <w:rPr>
          <w:rFonts w:ascii="Times New Roman" w:hAnsi="Times New Roman"/>
          <w:b w:val="0"/>
          <w:i w:val="0"/>
          <w:sz w:val="22"/>
        </w:rPr>
        <w:t>) y se unen los resultados. Un cero solo se acepta si un término de control da resultados.</w:t>
      </w:r>
    </w:p>
    <w:p>
      <w:pPr>
        <w:jc w:val="both"/>
      </w:pPr>
      <w:r>
        <w:rPr>
          <w:rFonts w:ascii="Times New Roman" w:hAnsi="Times New Roman"/>
          <w:b/>
          <w:i w:val="0"/>
          <w:sz w:val="22"/>
        </w:rPr>
        <w:t>Ventana.</w:t>
      </w:r>
      <w:r>
        <w:rPr>
          <w:rFonts w:ascii="Times New Roman" w:hAnsi="Times New Roman"/>
          <w:b w:val="0"/>
          <w:i w:val="0"/>
          <w:sz w:val="22"/>
        </w:rPr>
        <w:t xml:space="preserve"> La de 2016 a 2026 se aplica en la consulta de PubMed, Scopus y CENTRAL, y por regla (FEC) en BVS y SciELO. No se aplica a los registros de ensayos (sección 12.1). No se restringe el idioma en la consulta.</w:t>
      </w:r>
    </w:p>
    <w:p>
      <w:pPr>
        <w:jc w:val="both"/>
      </w:pPr>
      <w:r>
        <w:rPr>
          <w:rFonts w:ascii="Times New Roman" w:hAnsi="Times New Roman"/>
          <w:b/>
          <w:i w:val="0"/>
          <w:sz w:val="22"/>
        </w:rPr>
        <w:t>Quién ejecuta y cómo:</w:t>
      </w:r>
    </w:p>
    <w:p>
      <w:pPr>
        <w:pStyle w:val="ListBullet"/>
      </w:pPr>
      <w:r>
        <w:rPr>
          <w:rFonts w:ascii="Times New Roman" w:hAnsi="Times New Roman"/>
          <w:b/>
          <w:i w:val="0"/>
          <w:sz w:val="22"/>
        </w:rPr>
        <w:t>En las interfaces.</w:t>
      </w:r>
      <w:r>
        <w:rPr>
          <w:rFonts w:ascii="Times New Roman" w:hAnsi="Times New Roman"/>
          <w:b w:val="0"/>
          <w:i w:val="0"/>
          <w:sz w:val="22"/>
        </w:rPr>
        <w:t xml:space="preserve"> D.V. ejecuta cada ecuación en la interfaz de su fuente (Scopus, CENTRAL, BVS, SciELO, EudraCT y CTIS), sin el traductor automático del navegador, que en el piloto reescribió una consulta de Scopus. Anota la fecha y el número de resultados de cada brazo.</w:t>
      </w:r>
    </w:p>
    <w:p>
      <w:pPr>
        <w:pStyle w:val="ListBullet"/>
      </w:pPr>
      <w:r>
        <w:rPr>
          <w:rFonts w:ascii="Times New Roman" w:hAnsi="Times New Roman"/>
          <w:b/>
          <w:i w:val="0"/>
          <w:sz w:val="22"/>
        </w:rPr>
        <w:t>Por API.</w:t>
      </w:r>
      <w:r>
        <w:rPr>
          <w:rFonts w:ascii="Times New Roman" w:hAnsi="Times New Roman"/>
          <w:b w:val="0"/>
          <w:i w:val="0"/>
          <w:sz w:val="22"/>
        </w:rPr>
        <w:t xml:space="preserve"> Los registros de PubMed y de ClinicalTrials.gov se descargan con los guiones </w:t>
      </w:r>
      <w:r>
        <w:rPr>
          <w:rFonts w:ascii="Consolas" w:hAnsi="Consolas"/>
          <w:b w:val="0"/>
          <w:i w:val="0"/>
          <w:sz w:val="22"/>
        </w:rPr>
        <w:t>fetch_screening_corpus.py</w:t>
      </w:r>
      <w:r>
        <w:rPr>
          <w:rFonts w:ascii="Times New Roman" w:hAnsi="Times New Roman"/>
          <w:b w:val="0"/>
          <w:i w:val="0"/>
          <w:sz w:val="22"/>
        </w:rPr>
        <w:t xml:space="preserve"> y </w:t>
      </w:r>
      <w:r>
        <w:rPr>
          <w:rFonts w:ascii="Consolas" w:hAnsi="Consolas"/>
          <w:b w:val="0"/>
          <w:i w:val="0"/>
          <w:sz w:val="22"/>
        </w:rPr>
        <w:t>fetch_clinicaltrials.py</w:t>
      </w:r>
      <w:r>
        <w:rPr>
          <w:rFonts w:ascii="Times New Roman" w:hAnsi="Times New Roman"/>
          <w:b w:val="0"/>
          <w:i w:val="0"/>
          <w:sz w:val="22"/>
        </w:rPr>
        <w:t>, que contienen la consulta literal del anexo A. Los ejecuta el modelo de lenguaje, a petición de D.V., en una sesión registrada (sección 19).</w:t>
      </w:r>
    </w:p>
    <w:p>
      <w:pPr>
        <w:pStyle w:val="ListBullet"/>
      </w:pPr>
      <w:r>
        <w:rPr>
          <w:rFonts w:ascii="Times New Roman" w:hAnsi="Times New Roman"/>
          <w:b/>
          <w:i w:val="0"/>
          <w:sz w:val="22"/>
        </w:rPr>
        <w:t>Registro.</w:t>
      </w:r>
      <w:r>
        <w:rPr>
          <w:rFonts w:ascii="Times New Roman" w:hAnsi="Times New Roman"/>
          <w:b w:val="0"/>
          <w:i w:val="0"/>
          <w:sz w:val="22"/>
        </w:rPr>
        <w:t xml:space="preserve"> El de cada ejecución dice quién la hizo.</w:t>
      </w:r>
    </w:p>
    <w:p>
      <w:pPr>
        <w:pStyle w:val="ListBullet"/>
      </w:pPr>
      <w:r>
        <w:rPr>
          <w:rFonts w:ascii="Times New Roman" w:hAnsi="Times New Roman"/>
          <w:b/>
          <w:i w:val="0"/>
          <w:sz w:val="22"/>
        </w:rPr>
        <w:t>Cuadre.</w:t>
      </w:r>
      <w:r>
        <w:rPr>
          <w:rFonts w:ascii="Times New Roman" w:hAnsi="Times New Roman"/>
          <w:b w:val="0"/>
          <w:i w:val="0"/>
          <w:sz w:val="22"/>
        </w:rPr>
        <w:t xml:space="preserve"> Antes de cribar, el recuento descargado se cuadra con el de la interfaz.</w:t>
      </w:r>
    </w:p>
    <w:p>
      <w:pPr>
        <w:jc w:val="both"/>
      </w:pPr>
      <w:r>
        <w:rPr>
          <w:rFonts w:ascii="Times New Roman" w:hAnsi="Times New Roman"/>
          <w:b/>
          <w:i w:val="0"/>
          <w:sz w:val="22"/>
        </w:rPr>
        <w:t>Repetición.</w:t>
      </w:r>
      <w:r>
        <w:rPr>
          <w:rFonts w:ascii="Times New Roman" w:hAnsi="Times New Roman"/>
          <w:b w:val="0"/>
          <w:i w:val="0"/>
          <w:sz w:val="22"/>
        </w:rPr>
        <w:t xml:space="preserve"> Si entre la última ejecución y el envío del informe pasan más de seis meses, se reejecutan las ecuaciones, y lo nuevo pasa por todas las etapas (sección 17).</w:t>
      </w:r>
    </w:p>
    <w:p>
      <w:pPr>
        <w:jc w:val="both"/>
      </w:pPr>
      <w:r>
        <w:rPr>
          <w:rFonts w:ascii="Times New Roman" w:hAnsi="Times New Roman"/>
          <w:b/>
          <w:i w:val="0"/>
          <w:sz w:val="22"/>
        </w:rPr>
        <w:t>Justificación de las reglas de las ecuaciones:</w:t>
      </w:r>
    </w:p>
    <w:p>
      <w:pPr>
        <w:pStyle w:val="ListNumber"/>
      </w:pPr>
      <w:r>
        <w:rPr>
          <w:rFonts w:ascii="Times New Roman" w:hAnsi="Times New Roman"/>
          <w:b w:val="0"/>
          <w:i w:val="0"/>
          <w:sz w:val="22"/>
        </w:rPr>
        <w:t>el brazo B omite el organismo, para recuperar series multipatógeno que no lo nombran;</w:t>
      </w:r>
    </w:p>
    <w:p>
      <w:pPr>
        <w:pStyle w:val="ListNumber"/>
      </w:pPr>
      <w:r>
        <w:rPr>
          <w:rFonts w:ascii="Times New Roman" w:hAnsi="Times New Roman"/>
          <w:b w:val="0"/>
          <w:i w:val="0"/>
          <w:sz w:val="22"/>
        </w:rPr>
        <w:t>ningún término de resistencia es obligatorio;</w:t>
      </w:r>
    </w:p>
    <w:p>
      <w:pPr>
        <w:pStyle w:val="ListNumber"/>
      </w:pPr>
      <w:r>
        <w:rPr>
          <w:rFonts w:ascii="Times New Roman" w:hAnsi="Times New Roman"/>
          <w:b w:val="0"/>
          <w:i w:val="0"/>
          <w:sz w:val="22"/>
        </w:rPr>
        <w:t>vocabulario controlado además de texto libre;</w:t>
      </w:r>
    </w:p>
    <w:p>
      <w:pPr>
        <w:pStyle w:val="ListNumber"/>
      </w:pPr>
      <w:r>
        <w:rPr>
          <w:rFonts w:ascii="Times New Roman" w:hAnsi="Times New Roman"/>
          <w:b w:val="0"/>
          <w:i/>
          <w:sz w:val="22"/>
        </w:rPr>
        <w:t>phage\</w:t>
      </w:r>
      <w:r>
        <w:rPr>
          <w:rFonts w:ascii="Times New Roman" w:hAnsi="Times New Roman"/>
          <w:b w:val="0"/>
          <w:i/>
          <w:sz w:val="22"/>
        </w:rPr>
        <w:t xml:space="preserve"> y nunca </w:t>
      </w:r>
      <w:r>
        <w:rPr>
          <w:rFonts w:ascii="Times New Roman" w:hAnsi="Times New Roman"/>
          <w:b w:val="0"/>
          <w:i w:val="0"/>
          <w:sz w:val="22"/>
        </w:rPr>
        <w:t>phag\**, que arrastra la fagocitosis.</w:t>
      </w:r>
    </w:p>
    <w:p>
      <w:pPr>
        <w:pStyle w:val="Heading2"/>
      </w:pPr>
      <w:r>
        <w:rPr>
          <w:rFonts w:ascii="Times New Roman" w:hAnsi="Times New Roman"/>
          <w:b w:val="0"/>
          <w:i w:val="0"/>
          <w:sz w:val="26"/>
        </w:rPr>
        <w:t>11. Gestión de datos y programas</w:t>
      </w:r>
    </w:p>
    <w:p>
      <w:pPr>
        <w:jc w:val="both"/>
      </w:pPr>
      <w:r>
        <w:rPr>
          <w:rFonts w:ascii="Times New Roman" w:hAnsi="Times New Roman"/>
          <w:b/>
          <w:i w:val="0"/>
          <w:sz w:val="22"/>
        </w:rPr>
        <w:t>Gestión:</w:t>
      </w:r>
    </w:p>
    <w:p>
      <w:pPr>
        <w:pStyle w:val="ListBullet"/>
      </w:pPr>
      <w:r>
        <w:rPr>
          <w:rFonts w:ascii="Times New Roman" w:hAnsi="Times New Roman"/>
          <w:b w:val="0"/>
          <w:i w:val="0"/>
          <w:sz w:val="22"/>
        </w:rPr>
        <w:t>Todo registro lleva una clave derivada de su contenido, no de su posición.</w:t>
      </w:r>
    </w:p>
    <w:p>
      <w:pPr>
        <w:pStyle w:val="ListBullet"/>
      </w:pPr>
      <w:r>
        <w:rPr>
          <w:rFonts w:ascii="Times New Roman" w:hAnsi="Times New Roman"/>
          <w:b w:val="0"/>
          <w:i w:val="0"/>
          <w:sz w:val="22"/>
        </w:rPr>
        <w:t>La deduplicación cruza DOI, PMID y NCT de forma transitiva, leyendo los identificadores solo de campos identificadores. Los registros sin identificador se comparan por título normalizado y año, sin coincidencia difusa.</w:t>
      </w:r>
    </w:p>
    <w:p>
      <w:pPr>
        <w:pStyle w:val="ListBullet"/>
      </w:pPr>
      <w:r>
        <w:rPr>
          <w:rFonts w:ascii="Times New Roman" w:hAnsi="Times New Roman"/>
          <w:b w:val="0"/>
          <w:i w:val="0"/>
          <w:sz w:val="22"/>
        </w:rPr>
        <w:t xml:space="preserve">Las decisiones se escriben en registros </w:t>
      </w:r>
      <w:r>
        <w:rPr>
          <w:rFonts w:ascii="Times New Roman" w:hAnsi="Times New Roman"/>
          <w:b/>
          <w:i w:val="0"/>
          <w:sz w:val="22"/>
        </w:rPr>
        <w:t>solo-anexar</w:t>
      </w:r>
      <w:r>
        <w:rPr>
          <w:rFonts w:ascii="Times New Roman" w:hAnsi="Times New Roman"/>
          <w:b w:val="0"/>
          <w:i w:val="0"/>
          <w:sz w:val="22"/>
        </w:rPr>
        <w:t>: una corrección es una fila nueva, y la original se conserva.</w:t>
      </w:r>
    </w:p>
    <w:p>
      <w:pPr>
        <w:jc w:val="both"/>
      </w:pPr>
      <w:r>
        <w:rPr>
          <w:rFonts w:ascii="Times New Roman" w:hAnsi="Times New Roman"/>
          <w:b/>
          <w:i w:val="0"/>
          <w:sz w:val="22"/>
        </w:rPr>
        <w:t>Programas:</w:t>
      </w:r>
    </w:p>
    <w:p>
      <w:pPr>
        <w:pStyle w:val="ListBullet"/>
      </w:pPr>
      <w:r>
        <w:rPr>
          <w:rFonts w:ascii="Times New Roman" w:hAnsi="Times New Roman"/>
          <w:b w:val="0"/>
          <w:i w:val="0"/>
          <w:sz w:val="22"/>
        </w:rPr>
        <w:t xml:space="preserve">canal en Python (carpeta </w:t>
      </w:r>
      <w:r>
        <w:rPr>
          <w:rFonts w:ascii="Consolas" w:hAnsi="Consolas"/>
          <w:b w:val="0"/>
          <w:i w:val="0"/>
          <w:sz w:val="22"/>
        </w:rPr>
        <w:t>scripts/</w:t>
      </w:r>
      <w:r>
        <w:rPr>
          <w:rFonts w:ascii="Times New Roman" w:hAnsi="Times New Roman"/>
          <w:b w:val="0"/>
          <w:i w:val="0"/>
          <w:sz w:val="22"/>
        </w:rPr>
        <w:t xml:space="preserve"> del repositorio, versión fechada antes del depósito; sección 3.4);</w:t>
      </w:r>
    </w:p>
    <w:p>
      <w:pPr>
        <w:pStyle w:val="ListBullet"/>
      </w:pPr>
      <w:r>
        <w:rPr>
          <w:rFonts w:ascii="Times New Roman" w:hAnsi="Times New Roman"/>
          <w:b w:val="0"/>
          <w:i w:val="0"/>
          <w:sz w:val="22"/>
        </w:rPr>
        <w:t>Rayyan para el recribado ciego;</w:t>
      </w:r>
    </w:p>
    <w:p>
      <w:pPr>
        <w:pStyle w:val="ListBullet"/>
      </w:pPr>
      <w:r>
        <w:rPr>
          <w:rFonts w:ascii="Times New Roman" w:hAnsi="Times New Roman"/>
          <w:b w:val="0"/>
          <w:i w:val="0"/>
          <w:sz w:val="22"/>
        </w:rPr>
        <w:t xml:space="preserve">cuadernos </w:t>
      </w:r>
      <w:r>
        <w:rPr>
          <w:rFonts w:ascii="Consolas" w:hAnsi="Consolas"/>
          <w:b w:val="0"/>
          <w:i w:val="0"/>
          <w:sz w:val="22"/>
        </w:rPr>
        <w:t>.xlsx</w:t>
      </w:r>
      <w:r>
        <w:rPr>
          <w:rFonts w:ascii="Times New Roman" w:hAnsi="Times New Roman"/>
          <w:b w:val="0"/>
          <w:i w:val="0"/>
          <w:sz w:val="22"/>
        </w:rPr>
        <w:t xml:space="preserve"> para la elegibilidad, la extracción y el riesgo de sesgo;</w:t>
      </w:r>
    </w:p>
    <w:p>
      <w:pPr>
        <w:pStyle w:val="ListBullet"/>
      </w:pPr>
      <w:r>
        <w:rPr>
          <w:rFonts w:ascii="Times New Roman" w:hAnsi="Times New Roman"/>
          <w:b w:val="0"/>
          <w:i w:val="0"/>
          <w:sz w:val="22"/>
        </w:rPr>
        <w:t>R con el paquete metafor, si se agrupa (sección 16.3);</w:t>
      </w:r>
    </w:p>
    <w:p>
      <w:pPr>
        <w:pStyle w:val="ListBullet"/>
      </w:pPr>
      <w:r>
        <w:rPr>
          <w:rFonts w:ascii="Times New Roman" w:hAnsi="Times New Roman"/>
          <w:b w:val="0"/>
          <w:i w:val="0"/>
          <w:sz w:val="22"/>
        </w:rPr>
        <w:t>el modelo de lenguaje de la sección 19.</w:t>
      </w:r>
    </w:p>
    <w:p>
      <w:pPr>
        <w:jc w:val="both"/>
      </w:pPr>
      <w:r>
        <w:rPr>
          <w:rFonts w:ascii="Times New Roman" w:hAnsi="Times New Roman"/>
          <w:b/>
          <w:i w:val="0"/>
          <w:sz w:val="22"/>
        </w:rPr>
        <w:t>Datos que se publican:</w:t>
      </w:r>
      <w:r>
        <w:rPr>
          <w:rFonts w:ascii="Times New Roman" w:hAnsi="Times New Roman"/>
          <w:b w:val="0"/>
          <w:i w:val="0"/>
          <w:sz w:val="22"/>
        </w:rPr>
        <w:t xml:space="preserve"> exportaciones crudas de cada consulta, registros de las etapas 1 a 4, cuadernos de los dos autores, extracción adjudicada, juicios de riesgo de sesgo, instrucciones del modelo y código del canal. Se depositan en ‹‹REPOSITORIO Y DOI››, separados de los del piloto.</w:t>
      </w:r>
    </w:p>
    <w:p>
      <w:pPr>
        <w:pStyle w:val="Heading2"/>
      </w:pPr>
      <w:r>
        <w:rPr>
          <w:rFonts w:ascii="Times New Roman" w:hAnsi="Times New Roman"/>
          <w:b w:val="0"/>
          <w:i w:val="0"/>
          <w:sz w:val="26"/>
        </w:rPr>
        <w:t>12. Selección de los estudios</w:t>
      </w:r>
    </w:p>
    <w:p>
      <w:pPr>
        <w:pStyle w:val="Heading3"/>
      </w:pPr>
      <w:r>
        <w:rPr>
          <w:rFonts w:ascii="Times New Roman" w:hAnsi="Times New Roman"/>
          <w:b w:val="0"/>
          <w:i w:val="0"/>
          <w:sz w:val="22"/>
        </w:rPr>
        <w:t>12.1 Etapa 1: reglas deterministas</w:t>
      </w:r>
    </w:p>
    <w:p>
      <w:pPr>
        <w:jc w:val="both"/>
      </w:pPr>
      <w:r>
        <w:rPr>
          <w:rFonts w:ascii="Times New Roman" w:hAnsi="Times New Roman"/>
          <w:b w:val="0"/>
          <w:i w:val="0"/>
          <w:sz w:val="22"/>
        </w:rPr>
        <w:t>Cada exclusión nombra la regla que la disparó:</w:t>
      </w:r>
    </w:p>
    <w:p>
      <w:pPr>
        <w:pStyle w:val="ListNumber"/>
      </w:pPr>
      <w:r>
        <w:rPr>
          <w:rFonts w:ascii="Times New Roman" w:hAnsi="Times New Roman"/>
          <w:b/>
          <w:i w:val="0"/>
          <w:sz w:val="22"/>
        </w:rPr>
        <w:t>Sin título.</w:t>
      </w:r>
    </w:p>
    <w:p>
      <w:pPr>
        <w:pStyle w:val="ListNumber"/>
      </w:pPr>
      <w:r>
        <w:rPr>
          <w:rFonts w:ascii="Times New Roman" w:hAnsi="Times New Roman"/>
          <w:b/>
          <w:i w:val="0"/>
          <w:sz w:val="22"/>
        </w:rPr>
        <w:t>Tipo documental sin datos primarios.</w:t>
      </w:r>
    </w:p>
    <w:p>
      <w:pPr>
        <w:pStyle w:val="ListBullet2"/>
      </w:pPr>
      <w:r>
        <w:rPr>
          <w:rFonts w:ascii="Times New Roman" w:hAnsi="Times New Roman"/>
          <w:b w:val="0"/>
          <w:i w:val="0"/>
          <w:sz w:val="22"/>
        </w:rPr>
        <w:t xml:space="preserve">Solo excluye estos tipos: </w:t>
      </w:r>
      <w:r>
        <w:rPr>
          <w:rFonts w:ascii="Times New Roman" w:hAnsi="Times New Roman"/>
          <w:b w:val="0"/>
          <w:i/>
          <w:sz w:val="22"/>
        </w:rPr>
        <w:t>Published Erratum</w:t>
      </w:r>
      <w:r>
        <w:rPr>
          <w:rFonts w:ascii="Times New Roman" w:hAnsi="Times New Roman"/>
          <w:b w:val="0"/>
          <w:i w:val="0"/>
          <w:sz w:val="22"/>
        </w:rPr>
        <w:t xml:space="preserve"> o </w:t>
      </w:r>
      <w:r>
        <w:rPr>
          <w:rFonts w:ascii="Times New Roman" w:hAnsi="Times New Roman"/>
          <w:b w:val="0"/>
          <w:i/>
          <w:sz w:val="22"/>
        </w:rPr>
        <w:t>Erratum</w:t>
      </w:r>
      <w:r>
        <w:rPr>
          <w:rFonts w:ascii="Times New Roman" w:hAnsi="Times New Roman"/>
          <w:b w:val="0"/>
          <w:i w:val="0"/>
          <w:sz w:val="22"/>
        </w:rPr>
        <w:t xml:space="preserve">, </w:t>
      </w:r>
      <w:r>
        <w:rPr>
          <w:rFonts w:ascii="Times New Roman" w:hAnsi="Times New Roman"/>
          <w:b w:val="0"/>
          <w:i/>
          <w:sz w:val="22"/>
        </w:rPr>
        <w:t>Retraction</w:t>
      </w:r>
      <w:r>
        <w:rPr>
          <w:rFonts w:ascii="Times New Roman" w:hAnsi="Times New Roman"/>
          <w:b w:val="0"/>
          <w:i w:val="0"/>
          <w:sz w:val="22"/>
        </w:rPr>
        <w:t xml:space="preserve">, </w:t>
      </w:r>
      <w:r>
        <w:rPr>
          <w:rFonts w:ascii="Times New Roman" w:hAnsi="Times New Roman"/>
          <w:b w:val="0"/>
          <w:i/>
          <w:sz w:val="22"/>
        </w:rPr>
        <w:t>News</w:t>
      </w:r>
      <w:r>
        <w:rPr>
          <w:rFonts w:ascii="Times New Roman" w:hAnsi="Times New Roman"/>
          <w:b w:val="0"/>
          <w:i w:val="0"/>
          <w:sz w:val="22"/>
        </w:rPr>
        <w:t xml:space="preserve">, </w:t>
      </w:r>
      <w:r>
        <w:rPr>
          <w:rFonts w:ascii="Times New Roman" w:hAnsi="Times New Roman"/>
          <w:b w:val="0"/>
          <w:i/>
          <w:sz w:val="22"/>
        </w:rPr>
        <w:t>Newspaper Article</w:t>
      </w:r>
      <w:r>
        <w:rPr>
          <w:rFonts w:ascii="Times New Roman" w:hAnsi="Times New Roman"/>
          <w:b w:val="0"/>
          <w:i w:val="0"/>
          <w:sz w:val="22"/>
        </w:rPr>
        <w:t xml:space="preserve">, </w:t>
      </w:r>
      <w:r>
        <w:rPr>
          <w:rFonts w:ascii="Times New Roman" w:hAnsi="Times New Roman"/>
          <w:b w:val="0"/>
          <w:i/>
          <w:sz w:val="22"/>
        </w:rPr>
        <w:t>Biography</w:t>
      </w:r>
      <w:r>
        <w:rPr>
          <w:rFonts w:ascii="Times New Roman" w:hAnsi="Times New Roman"/>
          <w:b w:val="0"/>
          <w:i w:val="0"/>
          <w:sz w:val="22"/>
        </w:rPr>
        <w:t xml:space="preserve"> y </w:t>
      </w:r>
      <w:r>
        <w:rPr>
          <w:rFonts w:ascii="Times New Roman" w:hAnsi="Times New Roman"/>
          <w:b w:val="0"/>
          <w:i/>
          <w:sz w:val="22"/>
        </w:rPr>
        <w:t>Patient Education Handout</w:t>
      </w:r>
      <w:r>
        <w:rPr>
          <w:rFonts w:ascii="Times New Roman" w:hAnsi="Times New Roman"/>
          <w:b w:val="0"/>
          <w:i w:val="0"/>
          <w:sz w:val="22"/>
        </w:rPr>
        <w:t>.</w:t>
      </w:r>
    </w:p>
    <w:p>
      <w:pPr>
        <w:pStyle w:val="ListBullet2"/>
      </w:pPr>
      <w:r>
        <w:rPr>
          <w:rFonts w:ascii="Times New Roman" w:hAnsi="Times New Roman"/>
          <w:b w:val="0"/>
          <w:i w:val="0"/>
          <w:sz w:val="22"/>
        </w:rPr>
        <w:t>Si el registro tiene además un tipo con datos, avanza.</w:t>
      </w:r>
    </w:p>
    <w:p>
      <w:pPr>
        <w:pStyle w:val="ListBullet2"/>
      </w:pPr>
      <w:r>
        <w:rPr>
          <w:rFonts w:ascii="Times New Roman" w:hAnsi="Times New Roman"/>
          <w:b w:val="0"/>
          <w:i/>
          <w:sz w:val="22"/>
        </w:rPr>
        <w:t>Editorial</w:t>
      </w:r>
      <w:r>
        <w:rPr>
          <w:rFonts w:ascii="Times New Roman" w:hAnsi="Times New Roman"/>
          <w:b w:val="0"/>
          <w:i w:val="0"/>
          <w:sz w:val="22"/>
        </w:rPr>
        <w:t xml:space="preserve">, </w:t>
      </w:r>
      <w:r>
        <w:rPr>
          <w:rFonts w:ascii="Times New Roman" w:hAnsi="Times New Roman"/>
          <w:b w:val="0"/>
          <w:i/>
          <w:sz w:val="22"/>
        </w:rPr>
        <w:t>Comment</w:t>
      </w:r>
      <w:r>
        <w:rPr>
          <w:rFonts w:ascii="Times New Roman" w:hAnsi="Times New Roman"/>
          <w:b w:val="0"/>
          <w:i w:val="0"/>
          <w:sz w:val="22"/>
        </w:rPr>
        <w:t xml:space="preserve">, </w:t>
      </w:r>
      <w:r>
        <w:rPr>
          <w:rFonts w:ascii="Times New Roman" w:hAnsi="Times New Roman"/>
          <w:b w:val="0"/>
          <w:i/>
          <w:sz w:val="22"/>
        </w:rPr>
        <w:t>Letter</w:t>
      </w:r>
      <w:r>
        <w:rPr>
          <w:rFonts w:ascii="Times New Roman" w:hAnsi="Times New Roman"/>
          <w:b w:val="0"/>
          <w:i w:val="0"/>
          <w:sz w:val="22"/>
        </w:rPr>
        <w:t xml:space="preserve">, </w:t>
      </w:r>
      <w:r>
        <w:rPr>
          <w:rFonts w:ascii="Times New Roman" w:hAnsi="Times New Roman"/>
          <w:b w:val="0"/>
          <w:i/>
          <w:sz w:val="22"/>
        </w:rPr>
        <w:t>Note</w:t>
      </w:r>
      <w:r>
        <w:rPr>
          <w:rFonts w:ascii="Times New Roman" w:hAnsi="Times New Roman"/>
          <w:b w:val="0"/>
          <w:i w:val="0"/>
          <w:sz w:val="22"/>
        </w:rPr>
        <w:t xml:space="preserve"> y </w:t>
      </w:r>
      <w:r>
        <w:rPr>
          <w:rFonts w:ascii="Times New Roman" w:hAnsi="Times New Roman"/>
          <w:b w:val="0"/>
          <w:i/>
          <w:sz w:val="22"/>
        </w:rPr>
        <w:t>Short survey</w:t>
      </w:r>
      <w:r>
        <w:rPr>
          <w:rFonts w:ascii="Times New Roman" w:hAnsi="Times New Roman"/>
          <w:b w:val="0"/>
          <w:i w:val="0"/>
          <w:sz w:val="22"/>
        </w:rPr>
        <w:t xml:space="preserve"> pasan a la etapa 2.</w:t>
      </w:r>
    </w:p>
    <w:p>
      <w:pPr>
        <w:pStyle w:val="ListNumber"/>
      </w:pPr>
      <w:r>
        <w:rPr>
          <w:rFonts w:ascii="Times New Roman" w:hAnsi="Times New Roman"/>
          <w:b w:val="0"/>
          <w:i/>
          <w:sz w:val="22"/>
        </w:rPr>
      </w:r>
      <w:r>
        <w:rPr>
          <w:rFonts w:ascii="Times New Roman" w:hAnsi="Times New Roman"/>
          <w:b w:val="0"/>
          <w:i/>
          <w:sz w:val="22"/>
        </w:rPr>
        <w:t xml:space="preserve">MeSH </w:t>
      </w:r>
      <w:r>
        <w:rPr>
          <w:rFonts w:ascii="Times New Roman" w:hAnsi="Times New Roman"/>
          <w:b w:val="0"/>
          <w:i w:val="0"/>
          <w:sz w:val="22"/>
        </w:rPr>
        <w:t>Animals</w:t>
      </w:r>
      <w:r>
        <w:rPr>
          <w:rFonts w:ascii="Times New Roman" w:hAnsi="Times New Roman"/>
          <w:b w:val="0"/>
          <w:i/>
          <w:sz w:val="22"/>
        </w:rPr>
        <w:t xml:space="preserve"> sin </w:t>
      </w:r>
      <w:r>
        <w:rPr>
          <w:rFonts w:ascii="Times New Roman" w:hAnsi="Times New Roman"/>
          <w:b w:val="0"/>
          <w:i w:val="0"/>
          <w:sz w:val="22"/>
        </w:rPr>
        <w:t>Humans</w:t>
      </w:r>
      <w:r>
        <w:rPr>
          <w:rFonts w:ascii="Times New Roman" w:hAnsi="Times New Roman"/>
          <w:b w:val="0"/>
          <w:i/>
          <w:sz w:val="22"/>
        </w:rPr>
        <w:t>.</w:t>
      </w:r>
      <w:r>
        <w:rPr>
          <w:rFonts w:ascii="Times New Roman" w:hAnsi="Times New Roman"/>
          <w:b w:val="0"/>
          <w:i/>
          <w:sz w:val="22"/>
        </w:rPr>
        <w:t xml:space="preserve"> Solo juzga los registros que tienen MeSH; los demás avanzan.</w:t>
      </w:r>
    </w:p>
    <w:p>
      <w:pPr>
        <w:pStyle w:val="ListNumber"/>
      </w:pPr>
      <w:r>
        <w:rPr>
          <w:rFonts w:ascii="Times New Roman" w:hAnsi="Times New Roman"/>
          <w:b/>
          <w:i w:val="0"/>
          <w:sz w:val="22"/>
        </w:rPr>
        <w:t>Fago como herramienta de laboratorio:</w:t>
      </w:r>
      <w:r>
        <w:rPr>
          <w:rFonts w:ascii="Times New Roman" w:hAnsi="Times New Roman"/>
          <w:b w:val="0"/>
          <w:i w:val="0"/>
          <w:sz w:val="22"/>
        </w:rPr>
        <w:t xml:space="preserve"> </w:t>
      </w:r>
      <w:r>
        <w:rPr>
          <w:rFonts w:ascii="Times New Roman" w:hAnsi="Times New Roman"/>
          <w:b w:val="0"/>
          <w:i/>
          <w:sz w:val="22"/>
        </w:rPr>
        <w:t>phage display</w:t>
      </w:r>
      <w:r>
        <w:rPr>
          <w:rFonts w:ascii="Times New Roman" w:hAnsi="Times New Roman"/>
          <w:b w:val="0"/>
          <w:i w:val="0"/>
          <w:sz w:val="22"/>
        </w:rPr>
        <w:t>, tipado, bibliotecas.</w:t>
      </w:r>
    </w:p>
    <w:p>
      <w:pPr>
        <w:pStyle w:val="ListNumber"/>
      </w:pPr>
      <w:r>
        <w:rPr>
          <w:rFonts w:ascii="Times New Roman" w:hAnsi="Times New Roman"/>
          <w:b/>
          <w:i w:val="0"/>
          <w:sz w:val="22"/>
        </w:rPr>
        <w:t>FEC.</w:t>
      </w:r>
      <w:r>
        <w:rPr>
          <w:rFonts w:ascii="Times New Roman" w:hAnsi="Times New Roman"/>
          <w:b w:val="0"/>
          <w:i w:val="0"/>
          <w:sz w:val="22"/>
        </w:rPr>
        <w:t xml:space="preserve"> Año de publicación anterior a 2016 en la exportación (DP en PubMed, PUBYEAR en Scopus, año en BVS y SciELO).</w:t>
      </w:r>
    </w:p>
    <w:p>
      <w:pPr>
        <w:pStyle w:val="ListBullet2"/>
      </w:pPr>
      <w:r>
        <w:rPr>
          <w:rFonts w:ascii="Times New Roman" w:hAnsi="Times New Roman"/>
          <w:b w:val="0"/>
          <w:i w:val="0"/>
          <w:sz w:val="22"/>
        </w:rPr>
        <w:t>Excluye solo si ningún otro registro del pozo comparte con él DOI, PMID o identificador de registro; si lo comparte, se conserva para la agrupación.</w:t>
      </w:r>
    </w:p>
    <w:p>
      <w:pPr>
        <w:pStyle w:val="ListBullet2"/>
      </w:pPr>
      <w:r>
        <w:rPr>
          <w:rFonts w:ascii="Times New Roman" w:hAnsi="Times New Roman"/>
          <w:b w:val="0"/>
          <w:i w:val="0"/>
          <w:sz w:val="22"/>
        </w:rPr>
        <w:t>No se aplica a las fichas de registro de ensayos, cuyo año es el de inicio del estudio y no el de su publicación.</w:t>
      </w:r>
    </w:p>
    <w:p>
      <w:pPr>
        <w:pStyle w:val="ListBullet2"/>
      </w:pPr>
      <w:r>
        <w:rPr>
          <w:rFonts w:ascii="Times New Roman" w:hAnsi="Times New Roman"/>
          <w:b w:val="0"/>
          <w:i w:val="0"/>
          <w:sz w:val="22"/>
        </w:rPr>
        <w:t>Un registro sin año avanza.</w:t>
      </w:r>
    </w:p>
    <w:p>
      <w:pPr>
        <w:pStyle w:val="Heading3"/>
      </w:pPr>
      <w:r>
        <w:rPr>
          <w:rFonts w:ascii="Times New Roman" w:hAnsi="Times New Roman"/>
          <w:b w:val="0"/>
          <w:i w:val="0"/>
          <w:sz w:val="22"/>
        </w:rPr>
        <w:t>12.2 Etapas 2 (títulos) y 3 (resúmenes)</w:t>
      </w:r>
    </w:p>
    <w:p>
      <w:pPr>
        <w:jc w:val="both"/>
      </w:pPr>
      <w:r>
        <w:rPr>
          <w:rFonts w:ascii="Times New Roman" w:hAnsi="Times New Roman"/>
          <w:b w:val="0"/>
          <w:i w:val="0"/>
          <w:sz w:val="22"/>
        </w:rPr>
        <w:t xml:space="preserve">Las conduce </w:t>
      </w:r>
      <w:r>
        <w:rPr>
          <w:rFonts w:ascii="Times New Roman" w:hAnsi="Times New Roman"/>
          <w:b/>
          <w:i w:val="0"/>
          <w:sz w:val="22"/>
        </w:rPr>
        <w:t>un solo revisor humano (D.V.), sin duplicación</w:t>
      </w:r>
      <w:r>
        <w:rPr>
          <w:rFonts w:ascii="Times New Roman" w:hAnsi="Times New Roman"/>
          <w:b w:val="0"/>
          <w:i w:val="0"/>
          <w:sz w:val="22"/>
        </w:rPr>
        <w:t xml:space="preserve">. Las decisiones registro a registro las emite el </w:t>
      </w:r>
      <w:r>
        <w:rPr>
          <w:rFonts w:ascii="Times New Roman" w:hAnsi="Times New Roman"/>
          <w:b/>
          <w:i w:val="0"/>
          <w:sz w:val="22"/>
        </w:rPr>
        <w:t>modelo de lenguaje</w:t>
      </w:r>
      <w:r>
        <w:rPr>
          <w:rFonts w:ascii="Times New Roman" w:hAnsi="Times New Roman"/>
          <w:b w:val="0"/>
          <w:i w:val="0"/>
          <w:sz w:val="22"/>
        </w:rPr>
        <w:t xml:space="preserve"> de la sección 19, con las instrucciones literales del anexo C y el aislamiento de la sección 3.5.</w:t>
      </w:r>
    </w:p>
    <w:p>
      <w:pPr>
        <w:jc w:val="both"/>
      </w:pPr>
      <w:r>
        <w:rPr>
          <w:rFonts w:ascii="Times New Roman" w:hAnsi="Times New Roman"/>
          <w:b/>
          <w:i w:val="0"/>
          <w:sz w:val="22"/>
        </w:rPr>
        <w:t>Qué ve el modelo:</w:t>
      </w:r>
    </w:p>
    <w:p>
      <w:pPr>
        <w:pStyle w:val="ListBullet"/>
      </w:pPr>
      <w:r>
        <w:rPr>
          <w:rFonts w:ascii="Times New Roman" w:hAnsi="Times New Roman"/>
          <w:b w:val="0"/>
          <w:i w:val="0"/>
          <w:sz w:val="22"/>
        </w:rPr>
        <w:t>etapa 2: el título;</w:t>
      </w:r>
    </w:p>
    <w:p>
      <w:pPr>
        <w:pStyle w:val="ListBullet"/>
      </w:pPr>
      <w:r>
        <w:rPr>
          <w:rFonts w:ascii="Times New Roman" w:hAnsi="Times New Roman"/>
          <w:b w:val="0"/>
          <w:i w:val="0"/>
          <w:sz w:val="22"/>
        </w:rPr>
        <w:t>etapa 3: título, resumen, revista, tipo documental y año;</w:t>
      </w:r>
    </w:p>
    <w:p>
      <w:pPr>
        <w:pStyle w:val="ListBullet"/>
      </w:pPr>
      <w:r>
        <w:rPr>
          <w:rFonts w:ascii="Times New Roman" w:hAnsi="Times New Roman"/>
          <w:b w:val="0"/>
          <w:i w:val="0"/>
          <w:sz w:val="22"/>
        </w:rPr>
        <w:t>etapa 3, si es una ficha de registro: título oficial, resumen breve, condiciones, intervenciones, criterios de elegibilidad y diseño (asignación y enmascaramiento).</w:t>
      </w:r>
    </w:p>
    <w:p>
      <w:pPr>
        <w:jc w:val="both"/>
      </w:pPr>
      <w:r>
        <w:rPr>
          <w:rFonts w:ascii="Times New Roman" w:hAnsi="Times New Roman"/>
          <w:b/>
          <w:i w:val="0"/>
          <w:sz w:val="22"/>
        </w:rPr>
        <w:t>Qué puede decidir.</w:t>
      </w:r>
      <w:r>
        <w:rPr>
          <w:rFonts w:ascii="Times New Roman" w:hAnsi="Times New Roman"/>
          <w:b w:val="0"/>
          <w:i w:val="0"/>
          <w:sz w:val="22"/>
        </w:rPr>
        <w:t xml:space="preserve"> Solo los códigos ORG, REV, SEC, LAB, VET, OFF y PRF (sección 8.8), o «avanza».</w:t>
      </w:r>
    </w:p>
    <w:p>
      <w:pPr>
        <w:pStyle w:val="ListBullet"/>
      </w:pPr>
      <w:r>
        <w:rPr>
          <w:rFonts w:ascii="Times New Roman" w:hAnsi="Times New Roman"/>
          <w:b w:val="0"/>
          <w:i w:val="0"/>
          <w:sz w:val="22"/>
        </w:rPr>
        <w:t>FEC lo aplica únicamente la regla de la etapa 1.</w:t>
      </w:r>
    </w:p>
    <w:p>
      <w:pPr>
        <w:pStyle w:val="ListBullet"/>
      </w:pPr>
      <w:r>
        <w:rPr>
          <w:rFonts w:ascii="Times New Roman" w:hAnsi="Times New Roman"/>
          <w:b w:val="0"/>
          <w:i w:val="0"/>
          <w:sz w:val="22"/>
        </w:rPr>
        <w:t>Ante la duda, avanza.</w:t>
      </w:r>
    </w:p>
    <w:p>
      <w:pPr>
        <w:pStyle w:val="ListBullet"/>
      </w:pPr>
      <w:r>
        <w:rPr>
          <w:rFonts w:ascii="Times New Roman" w:hAnsi="Times New Roman"/>
          <w:b w:val="0"/>
          <w:i w:val="0"/>
          <w:sz w:val="22"/>
        </w:rPr>
        <w:t>Una respuesta que no sea uno de esos valores, o un error de llamada, se cuenta como «avanza», y las dos cosas quedan en el registro.</w:t>
      </w:r>
    </w:p>
    <w:p>
      <w:pPr>
        <w:jc w:val="both"/>
      </w:pPr>
      <w:r>
        <w:rPr>
          <w:rFonts w:ascii="Times New Roman" w:hAnsi="Times New Roman"/>
          <w:b/>
          <w:i w:val="0"/>
          <w:sz w:val="22"/>
        </w:rPr>
        <w:t>Qué se registra.</w:t>
      </w:r>
      <w:r>
        <w:rPr>
          <w:rFonts w:ascii="Times New Roman" w:hAnsi="Times New Roman"/>
          <w:b w:val="0"/>
          <w:i w:val="0"/>
          <w:sz w:val="22"/>
        </w:rPr>
        <w:t xml:space="preserve"> Cada decisión se registra con su motivo, el identificador del modelo y la marca de tiempo.</w:t>
      </w:r>
    </w:p>
    <w:p>
      <w:pPr>
        <w:jc w:val="both"/>
      </w:pPr>
      <w:r>
        <w:rPr>
          <w:rFonts w:ascii="Times New Roman" w:hAnsi="Times New Roman"/>
          <w:b/>
          <w:i w:val="0"/>
          <w:sz w:val="22"/>
        </w:rPr>
        <w:t>Qué hace D.V.:</w:t>
      </w:r>
    </w:p>
    <w:p>
      <w:pPr>
        <w:pStyle w:val="ListBullet"/>
      </w:pPr>
      <w:r>
        <w:rPr>
          <w:rFonts w:ascii="Times New Roman" w:hAnsi="Times New Roman"/>
          <w:b w:val="0"/>
          <w:i w:val="0"/>
          <w:sz w:val="22"/>
        </w:rPr>
        <w:t>Examina uno a uno los informes que superan la etapa 3, y lo registra informe a informe, con fecha, en el cuaderno de cribado. No puede excluirlos: solo puede marcar dudas para la etapa 4.</w:t>
      </w:r>
    </w:p>
    <w:p>
      <w:pPr>
        <w:pStyle w:val="ListBullet"/>
      </w:pPr>
      <w:r>
        <w:rPr>
          <w:rFonts w:ascii="Times New Roman" w:hAnsi="Times New Roman"/>
          <w:b/>
          <w:i w:val="0"/>
          <w:sz w:val="22"/>
        </w:rPr>
        <w:t>Los registros que el modelo excluye no los relee ningún humano</w:t>
      </w:r>
      <w:r>
        <w:rPr>
          <w:rFonts w:ascii="Times New Roman" w:hAnsi="Times New Roman"/>
          <w:b w:val="0"/>
          <w:i w:val="0"/>
          <w:sz w:val="22"/>
        </w:rPr>
        <w:t>, salvo los 350 de la muestra de la sección 12.6. Esa muestra acota la tasa de error; no valida cada exclusión.</w:t>
      </w:r>
    </w:p>
    <w:p>
      <w:pPr>
        <w:pStyle w:val="Heading3"/>
      </w:pPr>
      <w:r>
        <w:rPr>
          <w:rFonts w:ascii="Times New Roman" w:hAnsi="Times New Roman"/>
          <w:b w:val="0"/>
          <w:i w:val="0"/>
          <w:sz w:val="22"/>
        </w:rPr>
        <w:t>12.3 Agrupación de informes en estudios</w:t>
      </w:r>
    </w:p>
    <w:p>
      <w:pPr>
        <w:jc w:val="both"/>
      </w:pPr>
      <w:r>
        <w:rPr>
          <w:rFonts w:ascii="Times New Roman" w:hAnsi="Times New Roman"/>
          <w:b w:val="0"/>
          <w:i w:val="0"/>
          <w:sz w:val="22"/>
        </w:rPr>
        <w:t xml:space="preserve">El guion </w:t>
      </w:r>
      <w:r>
        <w:rPr>
          <w:rFonts w:ascii="Consolas" w:hAnsi="Consolas"/>
          <w:b w:val="0"/>
          <w:i w:val="0"/>
          <w:sz w:val="22"/>
        </w:rPr>
        <w:t>group_reports_into_studies.py</w:t>
      </w:r>
      <w:r>
        <w:rPr>
          <w:rFonts w:ascii="Times New Roman" w:hAnsi="Times New Roman"/>
          <w:b w:val="0"/>
          <w:i w:val="0"/>
          <w:sz w:val="22"/>
        </w:rPr>
        <w:t xml:space="preserve"> propone la agrupación por identificadores compartidos, y D.V. la confirma informe a informe. Para agrupar se admite un identificador de registro (NCT, EudraCT, CTIS) hallado en el resumen de un artículo.</w:t>
      </w:r>
    </w:p>
    <w:p>
      <w:pPr>
        <w:jc w:val="both"/>
      </w:pPr>
      <w:r>
        <w:rPr>
          <w:rFonts w:ascii="Times New Roman" w:hAnsi="Times New Roman"/>
          <w:b w:val="0"/>
          <w:i w:val="0"/>
          <w:sz w:val="22"/>
        </w:rPr>
        <w:t>Cada ficha de registro se enlaza con su publicación buscando su identificador, con fecha, en:</w:t>
      </w:r>
    </w:p>
    <w:p>
      <w:pPr>
        <w:pStyle w:val="ListBullet"/>
      </w:pPr>
      <w:r>
        <w:rPr>
          <w:rFonts w:ascii="Times New Roman" w:hAnsi="Times New Roman"/>
          <w:b w:val="0"/>
          <w:i w:val="0"/>
          <w:sz w:val="22"/>
        </w:rPr>
        <w:t>PubMed (campo de identificador secundario y texto);</w:t>
      </w:r>
    </w:p>
    <w:p>
      <w:pPr>
        <w:pStyle w:val="ListBullet"/>
      </w:pPr>
      <w:r>
        <w:rPr>
          <w:rFonts w:ascii="Times New Roman" w:hAnsi="Times New Roman"/>
          <w:b w:val="0"/>
          <w:i w:val="0"/>
          <w:sz w:val="22"/>
        </w:rPr>
        <w:t>Europe PMC (texto completo);</w:t>
      </w:r>
    </w:p>
    <w:p>
      <w:pPr>
        <w:pStyle w:val="ListBullet"/>
      </w:pPr>
      <w:r>
        <w:rPr>
          <w:rFonts w:ascii="Times New Roman" w:hAnsi="Times New Roman"/>
          <w:b w:val="0"/>
          <w:i w:val="0"/>
          <w:sz w:val="22"/>
        </w:rPr>
        <w:t>el campo de publicaciones de la propia ficha.</w:t>
      </w:r>
    </w:p>
    <w:p>
      <w:pPr>
        <w:jc w:val="both"/>
      </w:pPr>
      <w:r>
        <w:rPr>
          <w:rFonts w:ascii="Times New Roman" w:hAnsi="Times New Roman"/>
          <w:b w:val="0"/>
          <w:i w:val="0"/>
          <w:sz w:val="22"/>
        </w:rPr>
        <w:t>La ficha completa de cada registro se descarga del registro antes de la etapa 4.</w:t>
      </w:r>
    </w:p>
    <w:p>
      <w:pPr>
        <w:jc w:val="both"/>
      </w:pPr>
      <w:r>
        <w:rPr>
          <w:rFonts w:ascii="Times New Roman" w:hAnsi="Times New Roman"/>
          <w:b w:val="0"/>
          <w:i w:val="0"/>
          <w:sz w:val="22"/>
        </w:rPr>
        <w:t>Los estudios se numeran DEF-NNN. Los informes que, leídos a texto completo o al examinar el solapamiento, resulten ser el mismo estudio (sección 8.1) se fusionan, y se adjudican de nuevo los campos afectados. La agrupación se aporta íntegra.</w:t>
      </w:r>
    </w:p>
    <w:p>
      <w:pPr>
        <w:pStyle w:val="Heading3"/>
      </w:pPr>
      <w:r>
        <w:rPr>
          <w:rFonts w:ascii="Times New Roman" w:hAnsi="Times New Roman"/>
          <w:b w:val="0"/>
          <w:i w:val="0"/>
          <w:sz w:val="22"/>
        </w:rPr>
        <w:t>12.4 Etapa 4: elegibilidad a texto completo</w:t>
      </w:r>
    </w:p>
    <w:p>
      <w:pPr>
        <w:jc w:val="both"/>
      </w:pPr>
      <w:r>
        <w:rPr>
          <w:rFonts w:ascii="Times New Roman" w:hAnsi="Times New Roman"/>
          <w:b/>
          <w:i w:val="0"/>
          <w:sz w:val="22"/>
        </w:rPr>
        <w:t>Quién.</w:t>
      </w:r>
      <w:r>
        <w:rPr>
          <w:rFonts w:ascii="Times New Roman" w:hAnsi="Times New Roman"/>
          <w:b w:val="0"/>
          <w:i w:val="0"/>
          <w:sz w:val="22"/>
        </w:rPr>
        <w:t xml:space="preserve"> Los dos autores evalúan </w:t>
      </w:r>
      <w:r>
        <w:rPr>
          <w:rFonts w:ascii="Times New Roman" w:hAnsi="Times New Roman"/>
          <w:b/>
          <w:i w:val="0"/>
          <w:sz w:val="22"/>
        </w:rPr>
        <w:t>de forma independiente</w:t>
      </w:r>
      <w:r>
        <w:rPr>
          <w:rFonts w:ascii="Times New Roman" w:hAnsi="Times New Roman"/>
          <w:b w:val="0"/>
          <w:i w:val="0"/>
          <w:sz w:val="22"/>
        </w:rPr>
        <w:t xml:space="preserve"> cada estudio contra la sección 8. Los cuadernos se generan sin veredicto propuesto y sin cita precargada: cada autor busca y copia la frase del artículo en que se apoya.</w:t>
      </w:r>
    </w:p>
    <w:p>
      <w:pPr>
        <w:jc w:val="both"/>
      </w:pPr>
      <w:r>
        <w:rPr>
          <w:rFonts w:ascii="Times New Roman" w:hAnsi="Times New Roman"/>
          <w:b/>
          <w:i w:val="0"/>
          <w:sz w:val="22"/>
        </w:rPr>
        <w:t>Idioma.</w:t>
      </w:r>
      <w:r>
        <w:rPr>
          <w:rFonts w:ascii="Times New Roman" w:hAnsi="Times New Roman"/>
          <w:b w:val="0"/>
          <w:i w:val="0"/>
          <w:sz w:val="22"/>
        </w:rPr>
        <w:t xml:space="preserve"> El guion </w:t>
      </w:r>
      <w:r>
        <w:rPr>
          <w:rFonts w:ascii="Consolas" w:hAnsi="Consolas"/>
          <w:b w:val="0"/>
          <w:i w:val="0"/>
          <w:sz w:val="22"/>
        </w:rPr>
        <w:t>comprueba_idioma_cuerpo.py</w:t>
      </w:r>
      <w:r>
        <w:rPr>
          <w:rFonts w:ascii="Times New Roman" w:hAnsi="Times New Roman"/>
          <w:b w:val="0"/>
          <w:i w:val="0"/>
          <w:sz w:val="22"/>
        </w:rPr>
        <w:t xml:space="preserve"> estima, sin navegador, el idioma del cuerpo del texto sobre el PDF o sobre la copia HTML archivada. Usa la frecuencia de palabras vacías de ocho idiomas y la fracción de cirílico y de caracteres CJK. Ese resultado es un dato; la exclusión por IDI la firman los dos autores.</w:t>
      </w:r>
    </w:p>
    <w:p>
      <w:pPr>
        <w:jc w:val="both"/>
      </w:pPr>
      <w:r>
        <w:rPr>
          <w:rFonts w:ascii="Times New Roman" w:hAnsi="Times New Roman"/>
          <w:b/>
          <w:i w:val="0"/>
          <w:sz w:val="22"/>
        </w:rPr>
        <w:t>Exclusiones NOTXT.</w:t>
      </w:r>
      <w:r>
        <w:rPr>
          <w:rFonts w:ascii="Times New Roman" w:hAnsi="Times New Roman"/>
          <w:b w:val="0"/>
          <w:i w:val="0"/>
          <w:sz w:val="22"/>
        </w:rPr>
        <w:t xml:space="preserve"> En lugar de la frase del artículo, se aporta el registro de cada intento de obtención: vía, fecha, resultado y quién lo hizo (canal o D.V.).</w:t>
      </w:r>
    </w:p>
    <w:p>
      <w:pPr>
        <w:jc w:val="both"/>
      </w:pPr>
      <w:r>
        <w:rPr>
          <w:rFonts w:ascii="Times New Roman" w:hAnsi="Times New Roman"/>
          <w:b/>
          <w:i w:val="0"/>
          <w:sz w:val="22"/>
        </w:rPr>
        <w:t>Concordancia y consenso.</w:t>
      </w:r>
      <w:r>
        <w:rPr>
          <w:rFonts w:ascii="Times New Roman" w:hAnsi="Times New Roman"/>
          <w:b w:val="0"/>
          <w:i w:val="0"/>
          <w:sz w:val="22"/>
        </w:rPr>
        <w:t xml:space="preserve"> Antes del consenso se informan el acuerdo y la kappa de Cohen, sobre la decisión y sobre el código. Si no hay consenso, el estudio permanece y la discrepancia se declara.</w:t>
      </w:r>
    </w:p>
    <w:p>
      <w:pPr>
        <w:jc w:val="both"/>
      </w:pPr>
      <w:r>
        <w:rPr>
          <w:rFonts w:ascii="Times New Roman" w:hAnsi="Times New Roman"/>
          <w:b/>
          <w:i w:val="0"/>
          <w:sz w:val="22"/>
        </w:rPr>
        <w:t>Firma.</w:t>
      </w:r>
      <w:r>
        <w:rPr>
          <w:rFonts w:ascii="Times New Roman" w:hAnsi="Times New Roman"/>
          <w:b w:val="0"/>
          <w:i w:val="0"/>
          <w:sz w:val="22"/>
        </w:rPr>
        <w:t xml:space="preserve"> Toda exclusión lleva la firma de los dos.</w:t>
      </w:r>
    </w:p>
    <w:p>
      <w:pPr>
        <w:pStyle w:val="Heading3"/>
      </w:pPr>
      <w:r>
        <w:rPr>
          <w:rFonts w:ascii="Times New Roman" w:hAnsi="Times New Roman"/>
          <w:b w:val="0"/>
          <w:i w:val="0"/>
          <w:sz w:val="22"/>
        </w:rPr>
        <w:t>12.5 Control positivo</w:t>
      </w:r>
    </w:p>
    <w:p>
      <w:pPr>
        <w:jc w:val="both"/>
      </w:pPr>
      <w:r>
        <w:rPr>
          <w:rFonts w:ascii="Times New Roman" w:hAnsi="Times New Roman"/>
          <w:b w:val="0"/>
          <w:i w:val="0"/>
          <w:sz w:val="22"/>
        </w:rPr>
        <w:t>El conjunto son los 42 estudios del anexo D, que se comprueban por DOI, PMID o NCT. En el piloto, la auditoría solo pudo comprobar los 40 que tenían PMID.</w:t>
      </w:r>
    </w:p>
    <w:p>
      <w:pPr>
        <w:jc w:val="both"/>
      </w:pPr>
      <w:r>
        <w:rPr>
          <w:rFonts w:ascii="Times New Roman" w:hAnsi="Times New Roman"/>
          <w:b/>
          <w:i w:val="0"/>
          <w:sz w:val="22"/>
        </w:rPr>
        <w:t>Búsqueda.</w:t>
      </w:r>
      <w:r>
        <w:rPr>
          <w:rFonts w:ascii="Times New Roman" w:hAnsi="Times New Roman"/>
          <w:b w:val="0"/>
          <w:i w:val="0"/>
          <w:sz w:val="22"/>
        </w:rPr>
        <w:t xml:space="preserve"> Tras deduplicar se comprueba que cada control está en el pozo. Un control ausente se informa como pérdida de la búsqueda. Esto no valida la sensibilidad de la búsqueda, que se diseñó para recuperar este conjunto (sección 3.4).</w:t>
      </w:r>
    </w:p>
    <w:p>
      <w:pPr>
        <w:jc w:val="both"/>
      </w:pPr>
      <w:r>
        <w:rPr>
          <w:rFonts w:ascii="Times New Roman" w:hAnsi="Times New Roman"/>
          <w:b/>
          <w:i w:val="0"/>
          <w:sz w:val="22"/>
        </w:rPr>
        <w:t>Etapas 1 a 3.</w:t>
      </w:r>
      <w:r>
        <w:rPr>
          <w:rFonts w:ascii="Times New Roman" w:hAnsi="Times New Roman"/>
          <w:b w:val="0"/>
          <w:i w:val="0"/>
          <w:sz w:val="22"/>
        </w:rPr>
        <w:t xml:space="preserve"> Perder un control es un fallo, salvo que lo excluya FEC. Si ocurre:</w:t>
      </w:r>
    </w:p>
    <w:p>
      <w:pPr>
        <w:pStyle w:val="ListNumber"/>
      </w:pPr>
      <w:r>
        <w:rPr>
          <w:rFonts w:ascii="Times New Roman" w:hAnsi="Times New Roman"/>
          <w:b w:val="0"/>
          <w:i w:val="0"/>
          <w:sz w:val="22"/>
        </w:rPr>
        <w:t>el cribado se detiene y los dos autores leen el texto completo del control;</w:t>
      </w:r>
    </w:p>
    <w:p>
      <w:pPr>
        <w:pStyle w:val="ListNumber"/>
      </w:pPr>
      <w:r>
        <w:rPr>
          <w:rFonts w:ascii="Times New Roman" w:hAnsi="Times New Roman"/>
          <w:b w:val="0"/>
          <w:i w:val="0"/>
          <w:sz w:val="22"/>
        </w:rPr>
        <w:t>si cumple la sección 8, se corrigen la regla o las instrucciones del modelo, el cambio se registra en OSF antes de reanudar, y se recriban todos los registros ya decididos;</w:t>
      </w:r>
    </w:p>
    <w:p>
      <w:pPr>
        <w:pStyle w:val="ListNumber"/>
      </w:pPr>
      <w:r>
        <w:rPr>
          <w:rFonts w:ascii="Times New Roman" w:hAnsi="Times New Roman"/>
          <w:b w:val="0"/>
          <w:i w:val="0"/>
          <w:sz w:val="22"/>
        </w:rPr>
        <w:t>si no cumple, se informa con su nombre y el código comprobado.</w:t>
      </w:r>
    </w:p>
    <w:p>
      <w:pPr>
        <w:jc w:val="both"/>
      </w:pPr>
      <w:r>
        <w:rPr>
          <w:rFonts w:ascii="Times New Roman" w:hAnsi="Times New Roman"/>
          <w:b/>
          <w:i w:val="0"/>
          <w:sz w:val="22"/>
        </w:rPr>
        <w:t>Etapa 4.</w:t>
      </w:r>
      <w:r>
        <w:rPr>
          <w:rFonts w:ascii="Times New Roman" w:hAnsi="Times New Roman"/>
          <w:b w:val="0"/>
          <w:i w:val="0"/>
          <w:sz w:val="22"/>
        </w:rPr>
        <w:t xml:space="preserve"> Un control excluido se informa con su nombre y su motivo.</w:t>
      </w:r>
    </w:p>
    <w:p>
      <w:pPr>
        <w:pStyle w:val="Heading3"/>
      </w:pPr>
      <w:r>
        <w:rPr>
          <w:rFonts w:ascii="Times New Roman" w:hAnsi="Times New Roman"/>
          <w:b w:val="0"/>
          <w:i w:val="0"/>
          <w:sz w:val="22"/>
        </w:rPr>
        <w:t>12.6 Recribado ciego</w:t>
      </w:r>
    </w:p>
    <w:p>
      <w:pPr>
        <w:jc w:val="both"/>
      </w:pPr>
      <w:r>
        <w:rPr>
          <w:rFonts w:ascii="Times New Roman" w:hAnsi="Times New Roman"/>
          <w:b/>
          <w:i w:val="0"/>
          <w:sz w:val="22"/>
        </w:rPr>
        <w:t>Muestra.</w:t>
      </w:r>
      <w:r>
        <w:rPr>
          <w:rFonts w:ascii="Times New Roman" w:hAnsi="Times New Roman"/>
          <w:b w:val="0"/>
          <w:i w:val="0"/>
          <w:sz w:val="22"/>
        </w:rPr>
        <w:t xml:space="preserve"> 350 registros, tomados con semilla fija (20261008) de todos los excluidos en las etapas 2 y 3 por </w:t>
      </w:r>
      <w:r>
        <w:rPr>
          <w:rFonts w:ascii="Consolas" w:hAnsi="Consolas"/>
          <w:b w:val="0"/>
          <w:i w:val="0"/>
          <w:sz w:val="22"/>
        </w:rPr>
        <w:t>build_rayyan_validation_sample.py</w:t>
      </w:r>
      <w:r>
        <w:rPr>
          <w:rFonts w:ascii="Times New Roman" w:hAnsi="Times New Roman"/>
          <w:b w:val="0"/>
          <w:i w:val="0"/>
          <w:sz w:val="22"/>
        </w:rPr>
        <w:t>. Si no aparece ningún error, ese tamaño acota la tasa de exclusión errónea por debajo del 1,05 % (IC 95 % exacto).</w:t>
      </w:r>
    </w:p>
    <w:p>
      <w:pPr>
        <w:jc w:val="both"/>
      </w:pPr>
      <w:r>
        <w:rPr>
          <w:rFonts w:ascii="Times New Roman" w:hAnsi="Times New Roman"/>
          <w:b/>
          <w:i w:val="0"/>
          <w:sz w:val="22"/>
        </w:rPr>
        <w:t>Cómo.</w:t>
      </w:r>
      <w:r>
        <w:rPr>
          <w:rFonts w:ascii="Times New Roman" w:hAnsi="Times New Roman"/>
          <w:b w:val="0"/>
          <w:i w:val="0"/>
          <w:sz w:val="22"/>
        </w:rPr>
        <w:t xml:space="preserve"> Cada autor la recriba en Rayyan, por separado, sin ver el veredicto original y con la sección 8 a la vista. Los desacuerdos se resuelven por consenso.</w:t>
      </w:r>
    </w:p>
    <w:p>
      <w:pPr>
        <w:jc w:val="both"/>
      </w:pPr>
      <w:r>
        <w:rPr>
          <w:rFonts w:ascii="Times New Roman" w:hAnsi="Times New Roman"/>
          <w:b/>
          <w:i w:val="0"/>
          <w:sz w:val="22"/>
        </w:rPr>
        <w:t>Qué se informa.</w:t>
      </w:r>
      <w:r>
        <w:rPr>
          <w:rFonts w:ascii="Times New Roman" w:hAnsi="Times New Roman"/>
          <w:b w:val="0"/>
          <w:i w:val="0"/>
          <w:sz w:val="22"/>
        </w:rPr>
        <w:t xml:space="preserve"> Dos tasas, con IC 95 % de Clopper-Pearson:</w:t>
      </w:r>
    </w:p>
    <w:p>
      <w:pPr>
        <w:pStyle w:val="ListNumber"/>
      </w:pPr>
      <w:r>
        <w:rPr>
          <w:rFonts w:ascii="Times New Roman" w:hAnsi="Times New Roman"/>
          <w:b w:val="0"/>
          <w:i w:val="0"/>
          <w:sz w:val="22"/>
        </w:rPr>
        <w:t>los registros que al menos un autor habría hecho avanzar;</w:t>
      </w:r>
    </w:p>
    <w:p>
      <w:pPr>
        <w:pStyle w:val="ListNumber"/>
      </w:pPr>
      <w:r>
        <w:rPr>
          <w:rFonts w:ascii="Times New Roman" w:hAnsi="Times New Roman"/>
          <w:b w:val="0"/>
          <w:i w:val="0"/>
          <w:sz w:val="22"/>
        </w:rPr>
        <w:t>los que, leídos a texto completo por los dos, cumplen la sección 8.</w:t>
      </w:r>
    </w:p>
    <w:p>
      <w:pPr>
        <w:jc w:val="both"/>
      </w:pPr>
      <w:r>
        <w:rPr>
          <w:rFonts w:ascii="Times New Roman" w:hAnsi="Times New Roman"/>
          <w:b/>
          <w:i w:val="0"/>
          <w:sz w:val="22"/>
        </w:rPr>
        <w:t>Qué pasa con los recuperados.</w:t>
      </w:r>
      <w:r>
        <w:rPr>
          <w:rFonts w:ascii="Times New Roman" w:hAnsi="Times New Roman"/>
          <w:b w:val="0"/>
          <w:i w:val="0"/>
          <w:sz w:val="22"/>
        </w:rPr>
        <w:t xml:space="preserve"> Los registros que, tras el consenso, habrían avanzado entran en la agrupación (sección 17, paso 7) y siguen los pasos siguientes como los demás. La tasa 2 se calcula al cerrar la elegibilidad.</w:t>
      </w:r>
    </w:p>
    <w:p>
      <w:pPr>
        <w:pStyle w:val="Heading2"/>
      </w:pPr>
      <w:r>
        <w:rPr>
          <w:rFonts w:ascii="Times New Roman" w:hAnsi="Times New Roman"/>
          <w:b w:val="0"/>
          <w:i w:val="0"/>
          <w:sz w:val="26"/>
        </w:rPr>
        <w:t>13. Obtención del texto completo</w:t>
      </w:r>
    </w:p>
    <w:p>
      <w:pPr>
        <w:jc w:val="both"/>
      </w:pPr>
      <w:r>
        <w:rPr>
          <w:rFonts w:ascii="Times New Roman" w:hAnsi="Times New Roman"/>
          <w:b/>
          <w:i w:val="0"/>
          <w:sz w:val="22"/>
        </w:rPr>
        <w:t>Vías:</w:t>
      </w:r>
    </w:p>
    <w:p>
      <w:pPr>
        <w:pStyle w:val="ListBullet"/>
      </w:pPr>
      <w:r>
        <w:rPr>
          <w:rFonts w:ascii="Times New Roman" w:hAnsi="Times New Roman"/>
          <w:b w:val="0"/>
          <w:i w:val="0"/>
          <w:sz w:val="22"/>
        </w:rPr>
        <w:t>Unpaywall, Europe PMC, OpenAlex y Semantic Scholar;</w:t>
      </w:r>
    </w:p>
    <w:p>
      <w:pPr>
        <w:pStyle w:val="ListBullet"/>
      </w:pPr>
      <w:r>
        <w:rPr>
          <w:rFonts w:ascii="Times New Roman" w:hAnsi="Times New Roman"/>
          <w:b w:val="0"/>
          <w:i w:val="0"/>
          <w:sz w:val="22"/>
        </w:rPr>
        <w:t>la página del editor;</w:t>
      </w:r>
    </w:p>
    <w:p>
      <w:pPr>
        <w:pStyle w:val="ListBullet"/>
      </w:pPr>
      <w:r>
        <w:rPr>
          <w:rFonts w:ascii="Times New Roman" w:hAnsi="Times New Roman"/>
          <w:b w:val="0"/>
          <w:i w:val="0"/>
          <w:sz w:val="22"/>
        </w:rPr>
        <w:t>la suscripción institucional de la Universidad Católica de Cuenca;</w:t>
      </w:r>
    </w:p>
    <w:p>
      <w:pPr>
        <w:pStyle w:val="ListBullet"/>
      </w:pPr>
      <w:r>
        <w:rPr>
          <w:rFonts w:ascii="Times New Roman" w:hAnsi="Times New Roman"/>
          <w:b w:val="0"/>
          <w:i w:val="0"/>
          <w:sz w:val="22"/>
        </w:rPr>
        <w:t>‹‹DECISIÓN DE LOS AUTORES: la solicitud a los autores del estudio (dos intentos separados por 15 días) y el préstamo interbibliotecario, para el texto completo y para los datos faltantes. En el piloto no se usaron, por decisión de D.V. del 2-sep-2026 (commit d57164b)››.</w:t>
      </w:r>
    </w:p>
    <w:p>
      <w:pPr>
        <w:jc w:val="both"/>
      </w:pPr>
      <w:r>
        <w:rPr>
          <w:rFonts w:ascii="Times New Roman" w:hAnsi="Times New Roman"/>
          <w:b/>
          <w:i w:val="0"/>
          <w:sz w:val="22"/>
        </w:rPr>
        <w:t>Antes de registrar NOTXT</w:t>
      </w:r>
      <w:r>
        <w:rPr>
          <w:rFonts w:ascii="Times New Roman" w:hAnsi="Times New Roman"/>
          <w:b w:val="0"/>
          <w:i w:val="0"/>
          <w:sz w:val="22"/>
        </w:rPr>
        <w:t>, D.V. intenta en persona, con el navegador y la suscripción institucional, cada vía que el canal no haya podido abrir. En el piloto, un estudio se perdió por una barrera de acceso automatizado.</w:t>
      </w:r>
    </w:p>
    <w:p>
      <w:pPr>
        <w:jc w:val="both"/>
      </w:pPr>
      <w:r>
        <w:rPr>
          <w:rFonts w:ascii="Times New Roman" w:hAnsi="Times New Roman"/>
          <w:b/>
          <w:i w:val="0"/>
          <w:sz w:val="22"/>
        </w:rPr>
        <w:t>Registro.</w:t>
      </w:r>
      <w:r>
        <w:rPr>
          <w:rFonts w:ascii="Times New Roman" w:hAnsi="Times New Roman"/>
          <w:b w:val="0"/>
          <w:i w:val="0"/>
          <w:sz w:val="22"/>
        </w:rPr>
        <w:t xml:space="preserve"> Cada intento se registra por estudio, con su fecha y quién lo hizo (canal o D.V.).</w:t>
      </w:r>
    </w:p>
    <w:p>
      <w:pPr>
        <w:jc w:val="both"/>
      </w:pPr>
      <w:r>
        <w:rPr>
          <w:rFonts w:ascii="Times New Roman" w:hAnsi="Times New Roman"/>
          <w:b/>
          <w:i w:val="0"/>
          <w:sz w:val="22"/>
        </w:rPr>
        <w:t>Fecha de corte.</w:t>
      </w:r>
      <w:r>
        <w:rPr>
          <w:rFonts w:ascii="Times New Roman" w:hAnsi="Times New Roman"/>
          <w:b w:val="0"/>
          <w:i w:val="0"/>
          <w:sz w:val="22"/>
        </w:rPr>
        <w:t xml:space="preserve"> ‹‹FECHA››. Lo que no se haya obtenido para entonces es NOTXT.</w:t>
      </w:r>
    </w:p>
    <w:p>
      <w:pPr>
        <w:pStyle w:val="Heading2"/>
      </w:pPr>
      <w:r>
        <w:rPr>
          <w:rFonts w:ascii="Times New Roman" w:hAnsi="Times New Roman"/>
          <w:b w:val="0"/>
          <w:i w:val="0"/>
          <w:sz w:val="26"/>
        </w:rPr>
        <w:t>14. Extracción de datos</w:t>
      </w:r>
    </w:p>
    <w:p>
      <w:pPr>
        <w:pStyle w:val="Heading3"/>
      </w:pPr>
      <w:r>
        <w:rPr>
          <w:rFonts w:ascii="Times New Roman" w:hAnsi="Times New Roman"/>
          <w:b w:val="0"/>
          <w:i w:val="0"/>
          <w:sz w:val="22"/>
        </w:rPr>
        <w:t>14.1 Informe del que se extrae</w:t>
      </w:r>
    </w:p>
    <w:p>
      <w:pPr>
        <w:jc w:val="both"/>
      </w:pPr>
      <w:r>
        <w:rPr>
          <w:rFonts w:ascii="Times New Roman" w:hAnsi="Times New Roman"/>
          <w:b w:val="0"/>
          <w:i w:val="0"/>
          <w:sz w:val="22"/>
        </w:rPr>
        <w:t>Se extrae del artículo de texto completo con más pacientes y el seguimiento más largo. Los demás informes solo completan los campos que ese artículo no da, citándolos. Las discrepancias numéricas entre informes se registran y no se promedian. El informe de extracción de cada estudio se fija antes de extraer.</w:t>
      </w:r>
    </w:p>
    <w:p>
      <w:pPr>
        <w:pStyle w:val="Heading3"/>
      </w:pPr>
      <w:r>
        <w:rPr>
          <w:rFonts w:ascii="Times New Roman" w:hAnsi="Times New Roman"/>
          <w:b w:val="0"/>
          <w:i w:val="0"/>
          <w:sz w:val="22"/>
        </w:rPr>
        <w:t>14.2 Formulario</w:t>
      </w:r>
    </w:p>
    <w:p>
      <w:pPr>
        <w:jc w:val="both"/>
      </w:pPr>
      <w:r>
        <w:rPr>
          <w:rFonts w:ascii="Times New Roman" w:hAnsi="Times New Roman"/>
          <w:b w:val="0"/>
          <w:i w:val="0"/>
          <w:sz w:val="22"/>
        </w:rPr>
        <w:t>El anexo B define cada variable con sus valores admitidos.</w:t>
      </w:r>
    </w:p>
    <w:p>
      <w:pPr>
        <w:jc w:val="both"/>
      </w:pPr>
      <w:r>
        <w:rPr>
          <w:rFonts w:ascii="Times New Roman" w:hAnsi="Times New Roman"/>
          <w:b/>
          <w:i w:val="0"/>
          <w:sz w:val="22"/>
        </w:rPr>
        <w:t>Cambios respecto del piloto:</w:t>
      </w:r>
    </w:p>
    <w:p>
      <w:pPr>
        <w:pStyle w:val="ListBullet"/>
      </w:pPr>
      <w:r>
        <w:rPr>
          <w:rFonts w:ascii="Times New Roman" w:hAnsi="Times New Roman"/>
          <w:b w:val="0"/>
          <w:i w:val="0"/>
          <w:sz w:val="22"/>
        </w:rPr>
        <w:t>se añaden un denominador propio para cada desenlace;</w:t>
      </w:r>
    </w:p>
    <w:p>
      <w:pPr>
        <w:pStyle w:val="ListBullet"/>
      </w:pPr>
      <w:r>
        <w:rPr>
          <w:rFonts w:ascii="Times New Roman" w:hAnsi="Times New Roman"/>
          <w:b w:val="0"/>
          <w:i w:val="0"/>
          <w:sz w:val="22"/>
        </w:rPr>
        <w:t>se añaden los campos de unidad del desenlace, tipo de definición del éxito, clase declarada, atribuible, finalidad, métrica del éxito, momento de la medida, fila de control y pacientes compartidos;</w:t>
      </w:r>
    </w:p>
    <w:p>
      <w:pPr>
        <w:pStyle w:val="ListBullet"/>
      </w:pPr>
      <w:r>
        <w:rPr>
          <w:rFonts w:ascii="Times New Roman" w:hAnsi="Times New Roman"/>
          <w:b w:val="0"/>
          <w:i w:val="0"/>
          <w:sz w:val="22"/>
        </w:rPr>
        <w:t>se elimina el nivel de la revista, que no tenía criterio.</w:t>
      </w:r>
    </w:p>
    <w:p>
      <w:pPr>
        <w:jc w:val="both"/>
      </w:pPr>
      <w:r>
        <w:rPr>
          <w:rFonts w:ascii="Times New Roman" w:hAnsi="Times New Roman"/>
          <w:b/>
          <w:i w:val="0"/>
          <w:sz w:val="22"/>
        </w:rPr>
        <w:t>Brazo.</w:t>
      </w:r>
    </w:p>
    <w:p>
      <w:pPr>
        <w:pStyle w:val="ListBullet"/>
      </w:pPr>
      <w:r>
        <w:rPr>
          <w:rFonts w:ascii="Times New Roman" w:hAnsi="Times New Roman"/>
          <w:b/>
          <w:i w:val="0"/>
          <w:sz w:val="22"/>
        </w:rPr>
        <w:t>Qué es:</w:t>
      </w:r>
      <w:r>
        <w:rPr>
          <w:rFonts w:ascii="Times New Roman" w:hAnsi="Times New Roman"/>
          <w:b w:val="0"/>
          <w:i w:val="0"/>
          <w:sz w:val="22"/>
        </w:rPr>
        <w:t xml:space="preserve"> el conjunto de pacientes con </w:t>
      </w:r>
      <w:r>
        <w:rPr>
          <w:rFonts w:ascii="Times New Roman" w:hAnsi="Times New Roman"/>
          <w:b w:val="0"/>
          <w:i/>
          <w:sz w:val="22"/>
        </w:rPr>
        <w:t>P. aeruginosa</w:t>
      </w:r>
      <w:r>
        <w:rPr>
          <w:rFonts w:ascii="Times New Roman" w:hAnsi="Times New Roman"/>
          <w:b w:val="0"/>
          <w:i w:val="0"/>
          <w:sz w:val="22"/>
        </w:rPr>
        <w:t xml:space="preserve"> de un estudio que recibieron fago con la misma estrategia y cuyos desenlaces el artículo informa por separado. Si el artículo los separa por clase de resistencia, cada clase es un brazo.</w:t>
      </w:r>
    </w:p>
    <w:p>
      <w:pPr>
        <w:pStyle w:val="ListBullet"/>
      </w:pPr>
      <w:r>
        <w:rPr>
          <w:rFonts w:ascii="Times New Roman" w:hAnsi="Times New Roman"/>
          <w:b/>
          <w:i w:val="0"/>
          <w:sz w:val="22"/>
        </w:rPr>
        <w:t>Grupos sin fago.</w:t>
      </w:r>
      <w:r>
        <w:rPr>
          <w:rFonts w:ascii="Times New Roman" w:hAnsi="Times New Roman"/>
          <w:b w:val="0"/>
          <w:i w:val="0"/>
          <w:sz w:val="22"/>
        </w:rPr>
        <w:t xml:space="preserve"> Placebo, atención estándar o antimicrobiano solo no son brazos: se extraen en una fila marcada «control».</w:t>
      </w:r>
    </w:p>
    <w:p>
      <w:pPr>
        <w:pStyle w:val="ListBullet"/>
      </w:pPr>
      <w:r>
        <w:rPr>
          <w:rFonts w:ascii="Times New Roman" w:hAnsi="Times New Roman"/>
          <w:b/>
          <w:i w:val="0"/>
          <w:sz w:val="22"/>
        </w:rPr>
        <w:t>Preparados que no cumplen la sección 8.4.</w:t>
      </w:r>
      <w:r>
        <w:rPr>
          <w:rFonts w:ascii="Times New Roman" w:hAnsi="Times New Roman"/>
          <w:b w:val="0"/>
          <w:i w:val="0"/>
          <w:sz w:val="22"/>
        </w:rPr>
        <w:t xml:space="preserve"> Los pacientes con </w:t>
      </w:r>
      <w:r>
        <w:rPr>
          <w:rFonts w:ascii="Times New Roman" w:hAnsi="Times New Roman"/>
          <w:b w:val="0"/>
          <w:i/>
          <w:sz w:val="22"/>
        </w:rPr>
        <w:t>P. aeruginosa</w:t>
      </w:r>
      <w:r>
        <w:rPr>
          <w:rFonts w:ascii="Times New Roman" w:hAnsi="Times New Roman"/>
          <w:b w:val="0"/>
          <w:i w:val="0"/>
          <w:sz w:val="22"/>
        </w:rPr>
        <w:t xml:space="preserve"> que los recibieron no forman parte de ningún brazo: se cuentan aparte, con su desenlace, y se declaran.</w:t>
      </w:r>
    </w:p>
    <w:p>
      <w:pPr>
        <w:jc w:val="both"/>
      </w:pPr>
      <w:r>
        <w:rPr>
          <w:rFonts w:ascii="Times New Roman" w:hAnsi="Times New Roman"/>
          <w:b/>
          <w:i w:val="0"/>
          <w:sz w:val="22"/>
        </w:rPr>
        <w:t>Unidad.</w:t>
      </w:r>
      <w:r>
        <w:rPr>
          <w:rFonts w:ascii="Times New Roman" w:hAnsi="Times New Roman"/>
          <w:b w:val="0"/>
          <w:i w:val="0"/>
          <w:sz w:val="22"/>
        </w:rPr>
        <w:t xml:space="preserve"> La unidad de numerador y denominador es el paciente.</w:t>
      </w:r>
    </w:p>
    <w:p>
      <w:pPr>
        <w:pStyle w:val="ListBullet"/>
      </w:pPr>
      <w:r>
        <w:rPr>
          <w:rFonts w:ascii="Times New Roman" w:hAnsi="Times New Roman"/>
          <w:b w:val="0"/>
          <w:i w:val="0"/>
          <w:sz w:val="22"/>
        </w:rPr>
        <w:t>Si el artículo informa por curso o por infección y permite separar, se extrae ‹‹DECISIÓN DE LOS AUTORES: el primer curso / el último curso›› de cada paciente.</w:t>
      </w:r>
    </w:p>
    <w:p>
      <w:pPr>
        <w:pStyle w:val="ListBullet"/>
      </w:pPr>
      <w:r>
        <w:rPr>
          <w:rFonts w:ascii="Times New Roman" w:hAnsi="Times New Roman"/>
          <w:b w:val="0"/>
          <w:i w:val="0"/>
          <w:sz w:val="22"/>
        </w:rPr>
        <w:t>Si no permite separar, se extrae lo que dé, con su unidad (campo unidad_desenlace), y el brazo no cumple el requisito 1 de la sección 16.3.</w:t>
      </w:r>
    </w:p>
    <w:p>
      <w:pPr>
        <w:jc w:val="both"/>
      </w:pPr>
      <w:r>
        <w:rPr>
          <w:rFonts w:ascii="Times New Roman" w:hAnsi="Times New Roman"/>
          <w:b/>
          <w:i w:val="0"/>
          <w:sz w:val="22"/>
        </w:rPr>
        <w:t>Piloteo.</w:t>
      </w:r>
      <w:r>
        <w:rPr>
          <w:rFonts w:ascii="Times New Roman" w:hAnsi="Times New Roman"/>
          <w:b w:val="0"/>
          <w:i w:val="0"/>
          <w:sz w:val="22"/>
        </w:rPr>
        <w:t xml:space="preserve"> Antes de extraer, los dos autores pilotean el formulario sobre 5 estudios del corpus definitivo, elegidos con la semilla 20261008. Todo cambio que resulte se registra en OSF antes de extraer el resto.</w:t>
      </w:r>
    </w:p>
    <w:p>
      <w:pPr>
        <w:pStyle w:val="Heading3"/>
      </w:pPr>
      <w:r>
        <w:rPr>
          <w:rFonts w:ascii="Times New Roman" w:hAnsi="Times New Roman"/>
          <w:b w:val="0"/>
          <w:i w:val="0"/>
          <w:sz w:val="22"/>
        </w:rPr>
        <w:t>14.3 Procedimiento</w:t>
      </w:r>
    </w:p>
    <w:p>
      <w:pPr>
        <w:pStyle w:val="ListBullet"/>
      </w:pPr>
      <w:r>
        <w:rPr>
          <w:rFonts w:ascii="Times New Roman" w:hAnsi="Times New Roman"/>
          <w:b w:val="0"/>
          <w:i w:val="0"/>
          <w:sz w:val="22"/>
        </w:rPr>
        <w:t xml:space="preserve">Los dos autores extraen </w:t>
      </w:r>
      <w:r>
        <w:rPr>
          <w:rFonts w:ascii="Times New Roman" w:hAnsi="Times New Roman"/>
          <w:b/>
          <w:i w:val="0"/>
          <w:sz w:val="22"/>
        </w:rPr>
        <w:t>por duplicado e independientemente</w:t>
      </w:r>
      <w:r>
        <w:rPr>
          <w:rFonts w:ascii="Times New Roman" w:hAnsi="Times New Roman"/>
          <w:b w:val="0"/>
          <w:i w:val="0"/>
          <w:sz w:val="22"/>
        </w:rPr>
        <w:t>, sin consultar el cuaderno del otro ni ningún fichero del piloto. Los cuadernos se generan sin valores precargados.</w:t>
      </w:r>
    </w:p>
    <w:p>
      <w:pPr>
        <w:pStyle w:val="ListBullet"/>
      </w:pPr>
      <w:r>
        <w:rPr>
          <w:rFonts w:ascii="Times New Roman" w:hAnsi="Times New Roman"/>
          <w:b w:val="0"/>
          <w:i w:val="0"/>
          <w:sz w:val="22"/>
        </w:rPr>
        <w:t>La concordancia (porcentaje de acuerdo y kappa de Cohen por campo categórico) se mide antes de resolver los desacuerdos. Antes de medirla se comprueba que los textos libres de los dos cuadernos no coinciden carácter por carácter; si coinciden, se declara y la concordancia no se presenta como independiente.</w:t>
      </w:r>
    </w:p>
    <w:p>
      <w:pPr>
        <w:pStyle w:val="ListBullet"/>
      </w:pPr>
      <w:r>
        <w:rPr>
          <w:rFonts w:ascii="Times New Roman" w:hAnsi="Times New Roman"/>
          <w:b w:val="0"/>
          <w:i w:val="0"/>
          <w:sz w:val="22"/>
        </w:rPr>
        <w:t>Los desacuerdos se resuelven por consenso de los dos, con registro fila a fila de los dos nombres y la fecha. Si no hay consenso, la celda queda NA y se declara.</w:t>
      </w:r>
    </w:p>
    <w:p>
      <w:pPr>
        <w:pStyle w:val="Heading3"/>
      </w:pPr>
      <w:r>
        <w:rPr>
          <w:rFonts w:ascii="Times New Roman" w:hAnsi="Times New Roman"/>
          <w:b w:val="0"/>
          <w:i w:val="0"/>
          <w:sz w:val="22"/>
        </w:rPr>
        <w:t>14.4 Datos faltantes</w:t>
      </w:r>
    </w:p>
    <w:p>
      <w:pPr>
        <w:pStyle w:val="ListBullet"/>
      </w:pPr>
      <w:r>
        <w:rPr>
          <w:rFonts w:ascii="Times New Roman" w:hAnsi="Times New Roman"/>
          <w:b/>
          <w:i w:val="0"/>
          <w:sz w:val="22"/>
        </w:rPr>
        <w:t>Significado de cada valor.</w:t>
      </w:r>
      <w:r>
        <w:rPr>
          <w:rFonts w:ascii="Times New Roman" w:hAnsi="Times New Roman"/>
          <w:b w:val="0"/>
          <w:i w:val="0"/>
          <w:sz w:val="22"/>
        </w:rPr>
        <w:t xml:space="preserve"> Una celda vacía significa «no extraído»; NA, que el artículo no lo dice; 0, que lo dice y es cero.</w:t>
      </w:r>
    </w:p>
    <w:p>
      <w:pPr>
        <w:pStyle w:val="ListBullet"/>
      </w:pPr>
      <w:r>
        <w:rPr>
          <w:rFonts w:ascii="Times New Roman" w:hAnsi="Times New Roman"/>
          <w:b/>
          <w:i w:val="0"/>
          <w:sz w:val="22"/>
        </w:rPr>
        <w:t>Cierre.</w:t>
      </w:r>
      <w:r>
        <w:rPr>
          <w:rFonts w:ascii="Times New Roman" w:hAnsi="Times New Roman"/>
          <w:b w:val="0"/>
          <w:i w:val="0"/>
          <w:sz w:val="22"/>
        </w:rPr>
        <w:t xml:space="preserve"> Ninguna celda vacía se admite al cerrar la extracción.</w:t>
      </w:r>
    </w:p>
    <w:p>
      <w:pPr>
        <w:pStyle w:val="ListBullet"/>
      </w:pPr>
      <w:r>
        <w:rPr>
          <w:rFonts w:ascii="Times New Roman" w:hAnsi="Times New Roman"/>
          <w:b/>
          <w:i w:val="0"/>
          <w:sz w:val="22"/>
        </w:rPr>
        <w:t>Imputación.</w:t>
      </w:r>
      <w:r>
        <w:rPr>
          <w:rFonts w:ascii="Times New Roman" w:hAnsi="Times New Roman"/>
          <w:b w:val="0"/>
          <w:i w:val="0"/>
          <w:sz w:val="22"/>
        </w:rPr>
        <w:t xml:space="preserve"> No se imputa ningún valor.</w:t>
      </w:r>
    </w:p>
    <w:p>
      <w:pPr>
        <w:pStyle w:val="ListBullet"/>
      </w:pPr>
      <w:r>
        <w:rPr>
          <w:rFonts w:ascii="Times New Roman" w:hAnsi="Times New Roman"/>
          <w:b/>
          <w:i w:val="0"/>
          <w:sz w:val="22"/>
        </w:rPr>
        <w:t>Completitud.</w:t>
      </w:r>
      <w:r>
        <w:rPr>
          <w:rFonts w:ascii="Times New Roman" w:hAnsi="Times New Roman"/>
          <w:b w:val="0"/>
          <w:i w:val="0"/>
          <w:sz w:val="22"/>
        </w:rPr>
        <w:t xml:space="preserve"> En las medidas de completitud, NA cuenta como no informado.</w:t>
      </w:r>
    </w:p>
    <w:p>
      <w:pPr>
        <w:pStyle w:val="ListBullet"/>
      </w:pPr>
      <w:r>
        <w:rPr>
          <w:rFonts w:ascii="Times New Roman" w:hAnsi="Times New Roman"/>
          <w:b/>
          <w:i w:val="0"/>
          <w:sz w:val="22"/>
        </w:rPr>
        <w:t>Viabilidad.</w:t>
      </w:r>
      <w:r>
        <w:rPr>
          <w:rFonts w:ascii="Times New Roman" w:hAnsi="Times New Roman"/>
          <w:b w:val="0"/>
          <w:i w:val="0"/>
          <w:sz w:val="22"/>
        </w:rPr>
        <w:t xml:space="preserve"> Un brazo con NA en el numerador o el denominador del éxito clínico no cumple el requisito 1 de la sección 16.3.</w:t>
      </w:r>
    </w:p>
    <w:p>
      <w:pPr>
        <w:pStyle w:val="Heading3"/>
      </w:pPr>
      <w:r>
        <w:rPr>
          <w:rFonts w:ascii="Times New Roman" w:hAnsi="Times New Roman"/>
          <w:b w:val="0"/>
          <w:i w:val="0"/>
          <w:sz w:val="22"/>
        </w:rPr>
        <w:t>14.5 Relectura dirigida</w:t>
      </w:r>
    </w:p>
    <w:p>
      <w:pPr>
        <w:jc w:val="both"/>
      </w:pPr>
      <w:r>
        <w:rPr>
          <w:rFonts w:ascii="Times New Roman" w:hAnsi="Times New Roman"/>
          <w:b w:val="0"/>
          <w:i w:val="0"/>
          <w:sz w:val="22"/>
        </w:rPr>
        <w:t>Después de adjudicar, los dos autores vuelven al artículo, con la cita y su firma, para tres cuestiones:</w:t>
      </w:r>
    </w:p>
    <w:p>
      <w:pPr>
        <w:pStyle w:val="ListNumber"/>
      </w:pPr>
      <w:r>
        <w:rPr>
          <w:rFonts w:ascii="Times New Roman" w:hAnsi="Times New Roman"/>
          <w:b w:val="0"/>
          <w:i w:val="0"/>
          <w:sz w:val="22"/>
        </w:rPr>
        <w:t>comprobar la clase de resistencia contra el antibiograma publicado, con las reglas del anexo B;</w:t>
      </w:r>
    </w:p>
    <w:p>
      <w:pPr>
        <w:pStyle w:val="ListNumber"/>
      </w:pPr>
      <w:r>
        <w:rPr>
          <w:rFonts w:ascii="Times New Roman" w:hAnsi="Times New Roman"/>
          <w:b w:val="0"/>
          <w:i w:val="0"/>
          <w:sz w:val="22"/>
        </w:rPr>
        <w:t>reextraer, en los estudios con grupo concurrente sin fago, el comparador, la asignación, el tiempo cero, el tiempo de evaluación, las cointervenciones, las pérdidas y el estimando;</w:t>
      </w:r>
    </w:p>
    <w:p>
      <w:pPr>
        <w:pStyle w:val="ListNumber"/>
      </w:pPr>
      <w:r>
        <w:rPr>
          <w:rFonts w:ascii="Times New Roman" w:hAnsi="Times New Roman"/>
          <w:b w:val="0"/>
          <w:i w:val="0"/>
          <w:sz w:val="22"/>
        </w:rPr>
        <w:t>examinar los pares de estudios que pueden describir a los mismos pacientes (sección 14.6).</w:t>
      </w:r>
    </w:p>
    <w:p>
      <w:pPr>
        <w:pStyle w:val="Heading3"/>
      </w:pPr>
      <w:r>
        <w:rPr>
          <w:rFonts w:ascii="Times New Roman" w:hAnsi="Times New Roman"/>
          <w:b w:val="0"/>
          <w:i w:val="0"/>
          <w:sz w:val="22"/>
        </w:rPr>
        <w:t>14.6 Pacientes descritos en más de un estudio</w:t>
      </w:r>
    </w:p>
    <w:p>
      <w:pPr>
        <w:jc w:val="both"/>
      </w:pPr>
      <w:r>
        <w:rPr>
          <w:rFonts w:ascii="Times New Roman" w:hAnsi="Times New Roman"/>
          <w:b/>
          <w:i w:val="0"/>
          <w:sz w:val="22"/>
        </w:rPr>
        <w:t>Pares candidatos.</w:t>
      </w:r>
      <w:r>
        <w:rPr>
          <w:rFonts w:ascii="Times New Roman" w:hAnsi="Times New Roman"/>
          <w:b w:val="0"/>
          <w:i w:val="0"/>
          <w:sz w:val="22"/>
        </w:rPr>
        <w:t xml:space="preserve"> Los genera un guion por mismo centro, producto o país y por citas cruzadas, y la lectura añade los que encuentre.</w:t>
      </w:r>
    </w:p>
    <w:p>
      <w:pPr>
        <w:jc w:val="both"/>
      </w:pPr>
      <w:r>
        <w:rPr>
          <w:rFonts w:ascii="Times New Roman" w:hAnsi="Times New Roman"/>
          <w:b/>
          <w:i w:val="0"/>
          <w:sz w:val="22"/>
        </w:rPr>
        <w:t>Veredicto.</w:t>
      </w:r>
      <w:r>
        <w:rPr>
          <w:rFonts w:ascii="Times New Roman" w:hAnsi="Times New Roman"/>
          <w:b w:val="0"/>
          <w:i w:val="0"/>
          <w:sz w:val="22"/>
        </w:rPr>
        <w:t xml:space="preserve"> Cada par se cierra con la frase del artículo en que se apoya y la firma de los dos:</w:t>
      </w:r>
    </w:p>
    <w:p>
      <w:pPr>
        <w:pStyle w:val="ListBullet"/>
      </w:pPr>
      <w:r>
        <w:rPr>
          <w:rFonts w:ascii="Times New Roman" w:hAnsi="Times New Roman"/>
          <w:b/>
          <w:i w:val="0"/>
          <w:sz w:val="22"/>
        </w:rPr>
        <w:t>confirmado</w:t>
      </w:r>
      <w:r>
        <w:rPr>
          <w:rFonts w:ascii="Times New Roman" w:hAnsi="Times New Roman"/>
          <w:b w:val="0"/>
          <w:i w:val="0"/>
          <w:sz w:val="22"/>
        </w:rPr>
        <w:t>, con los pacientes compartidos;</w:t>
      </w:r>
    </w:p>
    <w:p>
      <w:pPr>
        <w:pStyle w:val="ListBullet"/>
      </w:pPr>
      <w:r>
        <w:rPr>
          <w:rFonts w:ascii="Times New Roman" w:hAnsi="Times New Roman"/>
          <w:b/>
          <w:i w:val="0"/>
          <w:sz w:val="22"/>
        </w:rPr>
        <w:t>probable</w:t>
      </w:r>
      <w:r>
        <w:rPr>
          <w:rFonts w:ascii="Times New Roman" w:hAnsi="Times New Roman"/>
          <w:b w:val="0"/>
          <w:i w:val="0"/>
          <w:sz w:val="22"/>
        </w:rPr>
        <w:t>, por cita o por coincidencia de datos sin identificador. Se trata como confirmado en la estimación principal y se explora en el análisis de sensibilidad 2 de la sección 16.3;</w:t>
      </w:r>
    </w:p>
    <w:p>
      <w:pPr>
        <w:pStyle w:val="ListBullet"/>
      </w:pPr>
      <w:r>
        <w:rPr>
          <w:rFonts w:ascii="Times New Roman" w:hAnsi="Times New Roman"/>
          <w:b/>
          <w:i w:val="0"/>
          <w:sz w:val="22"/>
        </w:rPr>
        <w:t>descartado</w:t>
      </w:r>
      <w:r>
        <w:rPr>
          <w:rFonts w:ascii="Times New Roman" w:hAnsi="Times New Roman"/>
          <w:b w:val="0"/>
          <w:i w:val="0"/>
          <w:sz w:val="22"/>
        </w:rPr>
        <w:t>.</w:t>
      </w:r>
    </w:p>
    <w:p>
      <w:pPr>
        <w:jc w:val="both"/>
      </w:pPr>
      <w:r>
        <w:rPr>
          <w:rFonts w:ascii="Times New Roman" w:hAnsi="Times New Roman"/>
          <w:b/>
          <w:i w:val="0"/>
          <w:sz w:val="22"/>
        </w:rPr>
        <w:t>Pacientes compartidos.</w:t>
      </w:r>
      <w:r>
        <w:rPr>
          <w:rFonts w:ascii="Times New Roman" w:hAnsi="Times New Roman"/>
          <w:b w:val="0"/>
          <w:i w:val="0"/>
          <w:sz w:val="22"/>
        </w:rPr>
        <w:t xml:space="preserve"> Cada uno recibe una clave de persona (P-NN), con el estudio donde se conserva y su desenlace (anexo B).</w:t>
      </w:r>
    </w:p>
    <w:p>
      <w:pPr>
        <w:pStyle w:val="Heading3"/>
      </w:pPr>
      <w:r>
        <w:rPr>
          <w:rFonts w:ascii="Times New Roman" w:hAnsi="Times New Roman"/>
          <w:b w:val="0"/>
          <w:i w:val="0"/>
          <w:sz w:val="22"/>
        </w:rPr>
        <w:t>14.7 Pre-extracción desde el resumen</w:t>
      </w:r>
    </w:p>
    <w:p>
      <w:pPr>
        <w:jc w:val="both"/>
      </w:pPr>
      <w:r>
        <w:rPr>
          <w:rFonts w:ascii="Times New Roman" w:hAnsi="Times New Roman"/>
          <w:b w:val="0"/>
          <w:i w:val="0"/>
          <w:sz w:val="22"/>
        </w:rPr>
        <w:t xml:space="preserve">La emite el modelo de lenguaje con las instrucciones del anexo C, </w:t>
      </w:r>
      <w:r>
        <w:rPr>
          <w:rFonts w:ascii="Times New Roman" w:hAnsi="Times New Roman"/>
          <w:b/>
          <w:i w:val="0"/>
          <w:sz w:val="22"/>
        </w:rPr>
        <w:t>después</w:t>
      </w:r>
      <w:r>
        <w:rPr>
          <w:rFonts w:ascii="Times New Roman" w:hAnsi="Times New Roman"/>
          <w:b w:val="0"/>
          <w:i w:val="0"/>
          <w:sz w:val="22"/>
        </w:rPr>
        <w:t xml:space="preserve"> de cerrar la extracción humana y sin que la vean los extractores. Se marca como parcial.</w:t>
      </w:r>
    </w:p>
    <w:p>
      <w:pPr>
        <w:jc w:val="both"/>
      </w:pPr>
      <w:r>
        <w:rPr>
          <w:rFonts w:ascii="Times New Roman" w:hAnsi="Times New Roman"/>
          <w:b w:val="0"/>
          <w:i w:val="0"/>
          <w:sz w:val="22"/>
        </w:rPr>
        <w:t>Es la única fuente de la medida de completitud en el resumen (sección 16.1) y de la descripción de los estudios excluidos por idioma o por texto completo, de los que no hay extracción humana. Para una ficha de registro, lee el diseño y el número de pacientes de los campos de la ficha.</w:t>
      </w:r>
    </w:p>
    <w:p>
      <w:pPr>
        <w:jc w:val="both"/>
      </w:pPr>
      <w:r>
        <w:rPr>
          <w:rFonts w:ascii="Times New Roman" w:hAnsi="Times New Roman"/>
          <w:b/>
          <w:i w:val="0"/>
          <w:sz w:val="22"/>
        </w:rPr>
        <w:t>Validación.</w:t>
      </w:r>
      <w:r>
        <w:rPr>
          <w:rFonts w:ascii="Times New Roman" w:hAnsi="Times New Roman"/>
          <w:b w:val="0"/>
          <w:i w:val="0"/>
          <w:sz w:val="22"/>
        </w:rPr>
        <w:t xml:space="preserve"> N.T. codifica de forma independiente las mismas variables en una muestra aleatoria del 20 % de los estudios (semilla 20261008), y se informa la concordancia con el modelo.</w:t>
      </w:r>
    </w:p>
    <w:p>
      <w:pPr>
        <w:pStyle w:val="Heading2"/>
      </w:pPr>
      <w:r>
        <w:rPr>
          <w:rFonts w:ascii="Times New Roman" w:hAnsi="Times New Roman"/>
          <w:b w:val="0"/>
          <w:i w:val="0"/>
          <w:sz w:val="26"/>
        </w:rPr>
        <w:t>15. Riesgo de sesgo</w:t>
      </w:r>
    </w:p>
    <w:p>
      <w:pPr>
        <w:jc w:val="both"/>
      </w:pPr>
      <w:r>
        <w:rPr>
          <w:rFonts w:ascii="Times New Roman" w:hAnsi="Times New Roman"/>
          <w:b/>
          <w:i w:val="0"/>
          <w:sz w:val="22"/>
        </w:rPr>
        <w:t>Qué estudios.</w:t>
      </w:r>
      <w:r>
        <w:rPr>
          <w:rFonts w:ascii="Times New Roman" w:hAnsi="Times New Roman"/>
          <w:b w:val="0"/>
          <w:i w:val="0"/>
          <w:sz w:val="22"/>
        </w:rPr>
        <w:t xml:space="preserve"> Los que tienen </w:t>
      </w:r>
      <w:r>
        <w:rPr>
          <w:rFonts w:ascii="Times New Roman" w:hAnsi="Times New Roman"/>
          <w:b/>
          <w:i w:val="0"/>
          <w:sz w:val="22"/>
        </w:rPr>
        <w:t>grupo concurrente sin fago</w:t>
      </w:r>
      <w:r>
        <w:rPr>
          <w:rFonts w:ascii="Times New Roman" w:hAnsi="Times New Roman"/>
          <w:b w:val="0"/>
          <w:i w:val="0"/>
          <w:sz w:val="22"/>
        </w:rPr>
        <w:t xml:space="preserve">: pacientes con </w:t>
      </w:r>
      <w:r>
        <w:rPr>
          <w:rFonts w:ascii="Times New Roman" w:hAnsi="Times New Roman"/>
          <w:b w:val="0"/>
          <w:i/>
          <w:sz w:val="22"/>
        </w:rPr>
        <w:t>P. aeruginosa</w:t>
      </w:r>
      <w:r>
        <w:rPr>
          <w:rFonts w:ascii="Times New Roman" w:hAnsi="Times New Roman"/>
          <w:b w:val="0"/>
          <w:i w:val="0"/>
          <w:sz w:val="22"/>
        </w:rPr>
        <w:t>, concurrentes, que no reciben fago (placebo, atención estándar o antimicrobiano solo), con el desenlace informado por separado.</w:t>
      </w:r>
    </w:p>
    <w:p>
      <w:pPr>
        <w:pStyle w:val="ListBullet"/>
      </w:pPr>
      <w:r>
        <w:rPr>
          <w:rFonts w:ascii="Times New Roman" w:hAnsi="Times New Roman"/>
          <w:b/>
          <w:i w:val="0"/>
          <w:sz w:val="22"/>
        </w:rPr>
        <w:t>Comparación sin grupo sin fago.</w:t>
      </w:r>
      <w:r>
        <w:rPr>
          <w:rFonts w:ascii="Times New Roman" w:hAnsi="Times New Roman"/>
          <w:b w:val="0"/>
          <w:i w:val="0"/>
          <w:sz w:val="22"/>
        </w:rPr>
        <w:t xml:space="preserve"> Los estudios con etiqueta de diseño comparativo sin ese grupo se describen y no se evalúan. Es el caso de los que comparan fago con y sin antibiótico entre tratados con fago.</w:t>
      </w:r>
    </w:p>
    <w:p>
      <w:pPr>
        <w:pStyle w:val="ListBullet"/>
      </w:pPr>
      <w:r>
        <w:rPr>
          <w:rFonts w:ascii="Times New Roman" w:hAnsi="Times New Roman"/>
          <w:b/>
          <w:i w:val="0"/>
          <w:sz w:val="22"/>
        </w:rPr>
        <w:t>Reportes y series de casos.</w:t>
      </w:r>
      <w:r>
        <w:rPr>
          <w:rFonts w:ascii="Times New Roman" w:hAnsi="Times New Roman"/>
          <w:b w:val="0"/>
          <w:i w:val="0"/>
          <w:sz w:val="22"/>
        </w:rPr>
        <w:t xml:space="preserve"> No se evalúan con instrumento formal: carecen de comparador, de asignación y de seguimiento estructurado.</w:t>
      </w:r>
    </w:p>
    <w:p>
      <w:pPr>
        <w:jc w:val="both"/>
      </w:pPr>
      <w:r>
        <w:rPr>
          <w:rFonts w:ascii="Times New Roman" w:hAnsi="Times New Roman"/>
          <w:b/>
          <w:i w:val="0"/>
          <w:sz w:val="22"/>
        </w:rPr>
        <w:t>Instrumentos:</w:t>
      </w:r>
    </w:p>
    <w:p>
      <w:pPr>
        <w:pStyle w:val="ListBullet"/>
      </w:pPr>
      <w:r>
        <w:rPr>
          <w:rFonts w:ascii="Times New Roman" w:hAnsi="Times New Roman"/>
          <w:b/>
          <w:i w:val="0"/>
          <w:sz w:val="22"/>
        </w:rPr>
        <w:t>RoB 2</w:t>
      </w:r>
      <w:r>
        <w:rPr>
          <w:rFonts w:ascii="Times New Roman" w:hAnsi="Times New Roman"/>
          <w:b w:val="0"/>
          <w:i w:val="0"/>
          <w:sz w:val="22"/>
        </w:rPr>
        <w:t xml:space="preserve"> (Sterne et al., </w:t>
      </w:r>
      <w:r>
        <w:rPr>
          <w:rFonts w:ascii="Times New Roman" w:hAnsi="Times New Roman"/>
          <w:b w:val="0"/>
          <w:i/>
          <w:sz w:val="22"/>
        </w:rPr>
        <w:t>BMJ</w:t>
      </w:r>
      <w:r>
        <w:rPr>
          <w:rFonts w:ascii="Times New Roman" w:hAnsi="Times New Roman"/>
          <w:b w:val="0"/>
          <w:i w:val="0"/>
          <w:sz w:val="22"/>
        </w:rPr>
        <w:t xml:space="preserve"> 2019;366:l4898) para los ensayos aleatorizados;</w:t>
      </w:r>
    </w:p>
    <w:p>
      <w:pPr>
        <w:pStyle w:val="ListBullet"/>
      </w:pPr>
      <w:r>
        <w:rPr>
          <w:rFonts w:ascii="Times New Roman" w:hAnsi="Times New Roman"/>
          <w:b/>
          <w:i w:val="0"/>
          <w:sz w:val="22"/>
        </w:rPr>
        <w:t>ROBINS-I</w:t>
      </w:r>
      <w:r>
        <w:rPr>
          <w:rFonts w:ascii="Times New Roman" w:hAnsi="Times New Roman"/>
          <w:b w:val="0"/>
          <w:i w:val="0"/>
          <w:sz w:val="22"/>
        </w:rPr>
        <w:t xml:space="preserve"> en su versión de 2016 (Sterne et al., </w:t>
      </w:r>
      <w:r>
        <w:rPr>
          <w:rFonts w:ascii="Times New Roman" w:hAnsi="Times New Roman"/>
          <w:b w:val="0"/>
          <w:i/>
          <w:sz w:val="22"/>
        </w:rPr>
        <w:t>BMJ</w:t>
      </w:r>
      <w:r>
        <w:rPr>
          <w:rFonts w:ascii="Times New Roman" w:hAnsi="Times New Roman"/>
          <w:b w:val="0"/>
          <w:i w:val="0"/>
          <w:sz w:val="22"/>
        </w:rPr>
        <w:t xml:space="preserve"> 2016;355:i4919) para los no aleatorizados y las cohortes.</w:t>
      </w:r>
    </w:p>
    <w:p>
      <w:pPr>
        <w:jc w:val="both"/>
      </w:pPr>
      <w:r>
        <w:rPr>
          <w:rFonts w:ascii="Times New Roman" w:hAnsi="Times New Roman"/>
          <w:b/>
          <w:i w:val="0"/>
          <w:sz w:val="22"/>
        </w:rPr>
        <w:t>Sobre qué resultado.</w:t>
      </w:r>
      <w:r>
        <w:rPr>
          <w:rFonts w:ascii="Times New Roman" w:hAnsi="Times New Roman"/>
          <w:b w:val="0"/>
          <w:i w:val="0"/>
          <w:sz w:val="22"/>
        </w:rPr>
        <w:t xml:space="preserve"> El éxito clínico, o el desenlace principal del estudio si no informa éxito clínico.</w:t>
      </w:r>
    </w:p>
    <w:p>
      <w:pPr>
        <w:jc w:val="both"/>
      </w:pPr>
      <w:r>
        <w:rPr>
          <w:rFonts w:ascii="Times New Roman" w:hAnsi="Times New Roman"/>
          <w:b/>
          <w:i w:val="0"/>
          <w:sz w:val="22"/>
        </w:rPr>
        <w:t>Confusores preespecificados para ROBINS-I:</w:t>
      </w:r>
      <w:r>
        <w:rPr>
          <w:rFonts w:ascii="Times New Roman" w:hAnsi="Times New Roman"/>
          <w:b w:val="0"/>
          <w:i w:val="0"/>
          <w:sz w:val="22"/>
        </w:rPr>
        <w:t xml:space="preserve"> gravedad de la infección, control del foco (cirugía o retirada de dispositivo), antimicrobianos activos concomitantes, inmunosupresión y colonización crónica frente a infección aguda.</w:t>
      </w:r>
    </w:p>
    <w:p>
      <w:pPr>
        <w:jc w:val="both"/>
      </w:pPr>
      <w:r>
        <w:rPr>
          <w:rFonts w:ascii="Times New Roman" w:hAnsi="Times New Roman"/>
          <w:b/>
          <w:i w:val="0"/>
          <w:sz w:val="22"/>
        </w:rPr>
        <w:t>Cómo se juzga.</w:t>
      </w:r>
      <w:r>
        <w:rPr>
          <w:rFonts w:ascii="Times New Roman" w:hAnsi="Times New Roman"/>
          <w:b w:val="0"/>
          <w:i w:val="0"/>
          <w:sz w:val="22"/>
        </w:rPr>
        <w:t xml:space="preserve"> Un juicio por dominio y uno global, sin responder las preguntas de señalización de RoB 2. Lo hacen los dos autores por duplicado e independientemente, en cuadernos generados sin juicios precargados. Se informa la concordancia previa al consenso, con la misma comprobación de textos libres coincidentes de la sección 14.3.</w:t>
      </w:r>
    </w:p>
    <w:p>
      <w:pPr>
        <w:jc w:val="both"/>
      </w:pPr>
      <w:r>
        <w:rPr>
          <w:rFonts w:ascii="Times New Roman" w:hAnsi="Times New Roman"/>
          <w:b/>
          <w:i w:val="0"/>
          <w:sz w:val="22"/>
        </w:rPr>
        <w:t>Uso.</w:t>
      </w:r>
      <w:r>
        <w:rPr>
          <w:rFonts w:ascii="Times New Roman" w:hAnsi="Times New Roman"/>
          <w:b w:val="0"/>
          <w:i w:val="0"/>
          <w:sz w:val="22"/>
        </w:rPr>
        <w:t xml:space="preserve"> Los juicios se tabulan por dominio. Si se estima un efecto comparativo, un análisis de sensibilidad excluye los estudios con riesgo alto o grave.</w:t>
      </w:r>
    </w:p>
    <w:p>
      <w:pPr>
        <w:pStyle w:val="Heading2"/>
      </w:pPr>
      <w:r>
        <w:rPr>
          <w:rFonts w:ascii="Times New Roman" w:hAnsi="Times New Roman"/>
          <w:b w:val="0"/>
          <w:i w:val="0"/>
          <w:sz w:val="26"/>
        </w:rPr>
        <w:t>16. Síntesis</w:t>
      </w:r>
    </w:p>
    <w:p>
      <w:pPr>
        <w:pStyle w:val="Heading3"/>
      </w:pPr>
      <w:r>
        <w:rPr>
          <w:rFonts w:ascii="Times New Roman" w:hAnsi="Times New Roman"/>
          <w:b w:val="0"/>
          <w:i w:val="0"/>
          <w:sz w:val="22"/>
        </w:rPr>
        <w:t>16.1 Medidas de completitud</w:t>
      </w:r>
    </w:p>
    <w:p>
      <w:pPr>
        <w:jc w:val="both"/>
      </w:pPr>
      <w:r>
        <w:rPr>
          <w:rFonts w:ascii="Times New Roman" w:hAnsi="Times New Roman"/>
          <w:b/>
          <w:i w:val="0"/>
          <w:sz w:val="22"/>
        </w:rPr>
        <w:t>Unidad.</w:t>
      </w:r>
      <w:r>
        <w:rPr>
          <w:rFonts w:ascii="Times New Roman" w:hAnsi="Times New Roman"/>
          <w:b w:val="0"/>
          <w:i w:val="0"/>
          <w:sz w:val="22"/>
        </w:rPr>
        <w:t xml:space="preserve"> El estudio, para las variables de estratificación; el brazo, para los desenlaces.</w:t>
      </w:r>
    </w:p>
    <w:p>
      <w:pPr>
        <w:jc w:val="both"/>
      </w:pPr>
      <w:r>
        <w:rPr>
          <w:rFonts w:ascii="Times New Roman" w:hAnsi="Times New Roman"/>
          <w:b/>
          <w:i w:val="0"/>
          <w:sz w:val="22"/>
        </w:rPr>
        <w:t>Variables de estratificación:</w:t>
      </w:r>
    </w:p>
    <w:p>
      <w:pPr>
        <w:pStyle w:val="ListBullet"/>
      </w:pPr>
      <w:r>
        <w:rPr>
          <w:rFonts w:ascii="Times New Roman" w:hAnsi="Times New Roman"/>
          <w:b w:val="0"/>
          <w:i w:val="0"/>
          <w:sz w:val="22"/>
        </w:rPr>
        <w:t>clase de resistencia;</w:t>
      </w:r>
    </w:p>
    <w:p>
      <w:pPr>
        <w:pStyle w:val="ListBullet"/>
      </w:pPr>
      <w:r>
        <w:rPr>
          <w:rFonts w:ascii="Times New Roman" w:hAnsi="Times New Roman"/>
          <w:b w:val="0"/>
          <w:i w:val="0"/>
          <w:sz w:val="22"/>
        </w:rPr>
        <w:t>vía;</w:t>
      </w:r>
    </w:p>
    <w:p>
      <w:pPr>
        <w:pStyle w:val="ListBullet"/>
      </w:pPr>
      <w:r>
        <w:rPr>
          <w:rFonts w:ascii="Times New Roman" w:hAnsi="Times New Roman"/>
          <w:b w:val="0"/>
          <w:i w:val="0"/>
          <w:sz w:val="22"/>
        </w:rPr>
        <w:t>ámbito de patógeno;</w:t>
      </w:r>
    </w:p>
    <w:p>
      <w:pPr>
        <w:pStyle w:val="ListBullet"/>
      </w:pPr>
      <w:r>
        <w:rPr>
          <w:rFonts w:ascii="Times New Roman" w:hAnsi="Times New Roman"/>
          <w:b w:val="0"/>
          <w:i w:val="0"/>
          <w:sz w:val="22"/>
        </w:rPr>
        <w:t>criterio DTR.</w:t>
      </w:r>
    </w:p>
    <w:p>
      <w:pPr>
        <w:jc w:val="both"/>
      </w:pPr>
      <w:r>
        <w:rPr>
          <w:rFonts w:ascii="Times New Roman" w:hAnsi="Times New Roman"/>
          <w:b/>
          <w:i w:val="0"/>
          <w:sz w:val="22"/>
        </w:rPr>
        <w:t>Cómo se mide.</w:t>
      </w:r>
      <w:r>
        <w:rPr>
          <w:rFonts w:ascii="Times New Roman" w:hAnsi="Times New Roman"/>
          <w:b w:val="0"/>
          <w:i w:val="0"/>
          <w:sz w:val="22"/>
        </w:rPr>
        <w:t xml:space="preserve"> Para cada variable se informa en tres situaciones: declarada, mencionada pero no clasificable, o no declarada. Se mide dos veces: en el resumen, con la pre-extracción del modelo, y en el texto completo, con la extracción adjudicada (campo resistance_class_declarada para la clase).</w:t>
      </w:r>
    </w:p>
    <w:p>
      <w:pPr>
        <w:pStyle w:val="ListBullet"/>
      </w:pPr>
      <w:r>
        <w:rPr>
          <w:rFonts w:ascii="Times New Roman" w:hAnsi="Times New Roman"/>
          <w:b/>
          <w:i w:val="0"/>
          <w:sz w:val="22"/>
        </w:rPr>
        <w:t>Declara la clase</w:t>
      </w:r>
      <w:r>
        <w:rPr>
          <w:rFonts w:ascii="Times New Roman" w:hAnsi="Times New Roman"/>
          <w:b w:val="0"/>
          <w:i w:val="0"/>
          <w:sz w:val="22"/>
        </w:rPr>
        <w:t xml:space="preserve"> quien escribe MDR, XDR o PDR o sus nombres completos (</w:t>
      </w:r>
      <w:r>
        <w:rPr>
          <w:rFonts w:ascii="Times New Roman" w:hAnsi="Times New Roman"/>
          <w:b w:val="0"/>
          <w:i/>
          <w:sz w:val="22"/>
        </w:rPr>
        <w:t>multidrug-</w:t>
      </w:r>
      <w:r>
        <w:rPr>
          <w:rFonts w:ascii="Times New Roman" w:hAnsi="Times New Roman"/>
          <w:b w:val="0"/>
          <w:i w:val="0"/>
          <w:sz w:val="22"/>
        </w:rPr>
        <w:t xml:space="preserve">, </w:t>
      </w:r>
      <w:r>
        <w:rPr>
          <w:rFonts w:ascii="Times New Roman" w:hAnsi="Times New Roman"/>
          <w:b w:val="0"/>
          <w:i/>
          <w:sz w:val="22"/>
        </w:rPr>
        <w:t>extensively drug-</w:t>
      </w:r>
      <w:r>
        <w:rPr>
          <w:rFonts w:ascii="Times New Roman" w:hAnsi="Times New Roman"/>
          <w:b w:val="0"/>
          <w:i w:val="0"/>
          <w:sz w:val="22"/>
        </w:rPr>
        <w:t xml:space="preserve">, </w:t>
      </w:r>
      <w:r>
        <w:rPr>
          <w:rFonts w:ascii="Times New Roman" w:hAnsi="Times New Roman"/>
          <w:b w:val="0"/>
          <w:i/>
          <w:sz w:val="22"/>
        </w:rPr>
        <w:t>pandrug-resistant</w:t>
      </w:r>
      <w:r>
        <w:rPr>
          <w:rFonts w:ascii="Times New Roman" w:hAnsi="Times New Roman"/>
          <w:b w:val="0"/>
          <w:i w:val="0"/>
          <w:sz w:val="22"/>
        </w:rPr>
        <w:t>; multirresistente, extremadamente resistente, panresistente), o da un antibiograma que permite asignarla.</w:t>
      </w:r>
    </w:p>
    <w:p>
      <w:pPr>
        <w:pStyle w:val="ListBullet"/>
      </w:pPr>
      <w:r>
        <w:rPr>
          <w:rFonts w:ascii="Times New Roman" w:hAnsi="Times New Roman"/>
          <w:b/>
          <w:i w:val="0"/>
          <w:sz w:val="22"/>
        </w:rPr>
        <w:t>Mención no clasificable:</w:t>
      </w:r>
      <w:r>
        <w:rPr>
          <w:rFonts w:ascii="Times New Roman" w:hAnsi="Times New Roman"/>
          <w:b w:val="0"/>
          <w:i w:val="0"/>
          <w:sz w:val="22"/>
        </w:rPr>
        <w:t xml:space="preserve"> un término de resistencia que no es ninguno de esos, como «resistente a carbapenémicos», </w:t>
      </w:r>
      <w:r>
        <w:rPr>
          <w:rFonts w:ascii="Times New Roman" w:hAnsi="Times New Roman"/>
          <w:b w:val="0"/>
          <w:i/>
          <w:sz w:val="22"/>
        </w:rPr>
        <w:t>drug-resistant</w:t>
      </w:r>
      <w:r>
        <w:rPr>
          <w:rFonts w:ascii="Times New Roman" w:hAnsi="Times New Roman"/>
          <w:b w:val="0"/>
          <w:i w:val="0"/>
          <w:sz w:val="22"/>
        </w:rPr>
        <w:t xml:space="preserve"> o </w:t>
      </w:r>
      <w:r>
        <w:rPr>
          <w:rFonts w:ascii="Times New Roman" w:hAnsi="Times New Roman"/>
          <w:b w:val="0"/>
          <w:i/>
          <w:sz w:val="22"/>
        </w:rPr>
        <w:t>antibiotic-resistant</w:t>
      </w:r>
      <w:r>
        <w:rPr>
          <w:rFonts w:ascii="Times New Roman" w:hAnsi="Times New Roman"/>
          <w:b w:val="0"/>
          <w:i w:val="0"/>
          <w:sz w:val="22"/>
        </w:rPr>
        <w:t>.</w:t>
      </w:r>
    </w:p>
    <w:p>
      <w:pPr>
        <w:jc w:val="both"/>
      </w:pPr>
      <w:r>
        <w:rPr>
          <w:rFonts w:ascii="Times New Roman" w:hAnsi="Times New Roman"/>
          <w:b/>
          <w:i w:val="0"/>
          <w:sz w:val="22"/>
        </w:rPr>
        <w:t>Desenlaces:</w:t>
      </w:r>
    </w:p>
    <w:p>
      <w:pPr>
        <w:pStyle w:val="ListBullet"/>
      </w:pPr>
      <w:r>
        <w:rPr>
          <w:rFonts w:ascii="Times New Roman" w:hAnsi="Times New Roman"/>
          <w:b w:val="0"/>
          <w:i w:val="0"/>
          <w:sz w:val="22"/>
        </w:rPr>
        <w:t>para cada uno de los cinco, la proporción de brazos que lo informan con numerador y denominador;</w:t>
      </w:r>
    </w:p>
    <w:p>
      <w:pPr>
        <w:pStyle w:val="ListBullet"/>
      </w:pPr>
      <w:r>
        <w:rPr>
          <w:rFonts w:ascii="Times New Roman" w:hAnsi="Times New Roman"/>
          <w:b w:val="0"/>
          <w:i w:val="0"/>
          <w:sz w:val="22"/>
        </w:rPr>
        <w:t>para el éxito clínico, además, la proporción con definición operativa (anexo B).</w:t>
      </w:r>
    </w:p>
    <w:p>
      <w:pPr>
        <w:jc w:val="both"/>
      </w:pPr>
      <w:r>
        <w:rPr>
          <w:rFonts w:ascii="Times New Roman" w:hAnsi="Times New Roman"/>
          <w:b/>
          <w:i w:val="0"/>
          <w:sz w:val="22"/>
        </w:rPr>
        <w:t>Clase de resistencia:</w:t>
      </w:r>
      <w:r>
        <w:rPr>
          <w:rFonts w:ascii="Times New Roman" w:hAnsi="Times New Roman"/>
          <w:b w:val="0"/>
          <w:i w:val="0"/>
          <w:sz w:val="22"/>
        </w:rPr>
        <w:t xml:space="preserve"> la concordancia entre la declarada y la asignable con el antibiograma publicado.</w:t>
      </w:r>
    </w:p>
    <w:p>
      <w:pPr>
        <w:jc w:val="both"/>
      </w:pPr>
      <w:r>
        <w:rPr>
          <w:rFonts w:ascii="Times New Roman" w:hAnsi="Times New Roman"/>
          <w:b/>
          <w:i w:val="0"/>
          <w:sz w:val="22"/>
        </w:rPr>
        <w:t>Fuente de cada medida.</w:t>
      </w:r>
      <w:r>
        <w:rPr>
          <w:rFonts w:ascii="Times New Roman" w:hAnsi="Times New Roman"/>
          <w:b w:val="0"/>
          <w:i w:val="0"/>
          <w:sz w:val="22"/>
        </w:rPr>
        <w:t xml:space="preserve"> El informe la declara junto a cada cifra:</w:t>
      </w:r>
    </w:p>
    <w:p>
      <w:pPr>
        <w:pStyle w:val="ListBullet"/>
      </w:pPr>
      <w:r>
        <w:rPr>
          <w:rFonts w:ascii="Times New Roman" w:hAnsi="Times New Roman"/>
          <w:b w:val="0"/>
          <w:i w:val="0"/>
          <w:sz w:val="22"/>
        </w:rPr>
        <w:t>la medida en el resumen sale solo de la pre-extracción del modelo, validada por N.T. en el 20 % de los estudios (sección 14.7);</w:t>
      </w:r>
    </w:p>
    <w:p>
      <w:pPr>
        <w:pStyle w:val="ListBullet"/>
      </w:pPr>
      <w:r>
        <w:rPr>
          <w:rFonts w:ascii="Times New Roman" w:hAnsi="Times New Roman"/>
          <w:b w:val="0"/>
          <w:i w:val="0"/>
          <w:sz w:val="22"/>
        </w:rPr>
        <w:t>la medida en el texto completo sale de la extracción adjudicada.</w:t>
      </w:r>
    </w:p>
    <w:p>
      <w:pPr>
        <w:pStyle w:val="Heading3"/>
      </w:pPr>
      <w:r>
        <w:rPr>
          <w:rFonts w:ascii="Times New Roman" w:hAnsi="Times New Roman"/>
          <w:b w:val="0"/>
          <w:i w:val="0"/>
          <w:sz w:val="22"/>
        </w:rPr>
        <w:t>16.2 Síntesis narrativa</w:t>
      </w:r>
    </w:p>
    <w:p>
      <w:pPr>
        <w:jc w:val="both"/>
      </w:pPr>
      <w:r>
        <w:rPr>
          <w:rFonts w:ascii="Times New Roman" w:hAnsi="Times New Roman"/>
          <w:b w:val="0"/>
          <w:i w:val="0"/>
          <w:sz w:val="22"/>
        </w:rPr>
        <w:t>Tablas de:</w:t>
      </w:r>
    </w:p>
    <w:p>
      <w:pPr>
        <w:pStyle w:val="ListBullet"/>
      </w:pPr>
      <w:r>
        <w:rPr>
          <w:rFonts w:ascii="Times New Roman" w:hAnsi="Times New Roman"/>
          <w:b w:val="0"/>
          <w:i w:val="0"/>
          <w:sz w:val="22"/>
        </w:rPr>
        <w:t>características del corpus (diseño, año, procedencia, vía, modalidad), desde la extracción adjudicada;</w:t>
      </w:r>
    </w:p>
    <w:p>
      <w:pPr>
        <w:pStyle w:val="ListBullet"/>
      </w:pPr>
      <w:r>
        <w:rPr>
          <w:rFonts w:ascii="Times New Roman" w:hAnsi="Times New Roman"/>
          <w:b w:val="0"/>
          <w:i w:val="0"/>
          <w:sz w:val="22"/>
        </w:rPr>
        <w:t>completitud en el resumen frente al texto completo;</w:t>
      </w:r>
    </w:p>
    <w:p>
      <w:pPr>
        <w:pStyle w:val="ListBullet"/>
      </w:pPr>
      <w:r>
        <w:rPr>
          <w:rFonts w:ascii="Times New Roman" w:hAnsi="Times New Roman"/>
          <w:b w:val="0"/>
          <w:i w:val="0"/>
          <w:sz w:val="22"/>
        </w:rPr>
        <w:t>efecto de los criterios de idioma y de texto completo;</w:t>
      </w:r>
    </w:p>
    <w:p>
      <w:pPr>
        <w:pStyle w:val="ListBullet"/>
      </w:pPr>
      <w:r>
        <w:rPr>
          <w:rFonts w:ascii="Times New Roman" w:hAnsi="Times New Roman"/>
          <w:b w:val="0"/>
          <w:i w:val="0"/>
          <w:sz w:val="22"/>
        </w:rPr>
        <w:t>exclusiones por código y etapa;</w:t>
      </w:r>
    </w:p>
    <w:p>
      <w:pPr>
        <w:pStyle w:val="ListBullet"/>
      </w:pPr>
      <w:r>
        <w:rPr>
          <w:rFonts w:ascii="Times New Roman" w:hAnsi="Times New Roman"/>
          <w:b w:val="0"/>
          <w:i w:val="0"/>
          <w:sz w:val="22"/>
        </w:rPr>
        <w:t>completitud por desenlace;</w:t>
      </w:r>
    </w:p>
    <w:p>
      <w:pPr>
        <w:pStyle w:val="ListBullet"/>
      </w:pPr>
      <w:r>
        <w:rPr>
          <w:rFonts w:ascii="Times New Roman" w:hAnsi="Times New Roman"/>
          <w:b w:val="0"/>
          <w:i w:val="0"/>
          <w:sz w:val="22"/>
        </w:rPr>
        <w:t>embudo brazo a brazo de los requisitos de la sección 16.3.</w:t>
      </w:r>
    </w:p>
    <w:p>
      <w:pPr>
        <w:jc w:val="both"/>
      </w:pPr>
      <w:r>
        <w:rPr>
          <w:rFonts w:ascii="Times New Roman" w:hAnsi="Times New Roman"/>
          <w:b w:val="0"/>
          <w:i w:val="0"/>
          <w:sz w:val="22"/>
        </w:rPr>
        <w:t>No se usa recuento de votos.</w:t>
      </w:r>
    </w:p>
    <w:p>
      <w:pPr>
        <w:pStyle w:val="Heading3"/>
      </w:pPr>
      <w:r>
        <w:rPr>
          <w:rFonts w:ascii="Times New Roman" w:hAnsi="Times New Roman"/>
          <w:b w:val="0"/>
          <w:i w:val="0"/>
          <w:sz w:val="22"/>
        </w:rPr>
        <w:t>16.3 Viabilidad de una proporción agrupada y plan si se agrupa</w:t>
      </w:r>
    </w:p>
    <w:p>
      <w:pPr>
        <w:jc w:val="both"/>
      </w:pPr>
      <w:r>
        <w:rPr>
          <w:rFonts w:ascii="Times New Roman" w:hAnsi="Times New Roman"/>
          <w:b/>
          <w:i w:val="0"/>
          <w:sz w:val="22"/>
        </w:rPr>
        <w:t>Requisitos.</w:t>
      </w:r>
      <w:r>
        <w:rPr>
          <w:rFonts w:ascii="Times New Roman" w:hAnsi="Times New Roman"/>
          <w:b w:val="0"/>
          <w:i w:val="0"/>
          <w:sz w:val="22"/>
        </w:rPr>
        <w:t xml:space="preserve"> Se aplican brazo a brazo, en este orden y con los campos del anexo B:</w:t>
      </w:r>
    </w:p>
    <w:p>
      <w:pPr>
        <w:pStyle w:val="ListNumber"/>
      </w:pPr>
      <w:r>
        <w:rPr>
          <w:rFonts w:ascii="Times New Roman" w:hAnsi="Times New Roman"/>
          <w:b w:val="0"/>
          <w:i w:val="0"/>
          <w:sz w:val="22"/>
        </w:rPr>
        <w:t>numerador y denominador del éxito clínico (clinical_success_n y clinical_success_den), coherentes: el numerador no mayor que el denominador, y unidad_desenlace = paciente;</w:t>
      </w:r>
    </w:p>
    <w:p>
      <w:pPr>
        <w:pStyle w:val="ListNumber"/>
      </w:pPr>
      <w:r>
        <w:rPr>
          <w:rFonts w:ascii="Times New Roman" w:hAnsi="Times New Roman"/>
          <w:b w:val="0"/>
          <w:i w:val="0"/>
          <w:sz w:val="22"/>
        </w:rPr>
        <w:t>definición operativa del éxito clínico (definicion_tipo = en el artículo, o por referencia si así lo deciden los autores en el anexo B);</w:t>
      </w:r>
    </w:p>
    <w:p>
      <w:pPr>
        <w:pStyle w:val="ListNumber"/>
      </w:pPr>
      <w:r>
        <w:rPr>
          <w:rFonts w:ascii="Times New Roman" w:hAnsi="Times New Roman"/>
          <w:b w:val="0"/>
          <w:i w:val="0"/>
          <w:sz w:val="22"/>
        </w:rPr>
        <w:t xml:space="preserve">desenlace atribuible a </w:t>
      </w:r>
      <w:r>
        <w:rPr>
          <w:rFonts w:ascii="Times New Roman" w:hAnsi="Times New Roman"/>
          <w:b w:val="0"/>
          <w:i/>
          <w:sz w:val="22"/>
        </w:rPr>
        <w:t>P. aeruginosa</w:t>
      </w:r>
      <w:r>
        <w:rPr>
          <w:rFonts w:ascii="Times New Roman" w:hAnsi="Times New Roman"/>
          <w:b w:val="0"/>
          <w:i w:val="0"/>
          <w:sz w:val="22"/>
        </w:rPr>
        <w:t xml:space="preserve"> (atribuible = sí);</w:t>
      </w:r>
    </w:p>
    <w:p>
      <w:pPr>
        <w:pStyle w:val="ListNumber"/>
      </w:pPr>
      <w:r>
        <w:rPr>
          <w:rFonts w:ascii="Times New Roman" w:hAnsi="Times New Roman"/>
          <w:b w:val="0"/>
          <w:i w:val="0"/>
          <w:sz w:val="22"/>
        </w:rPr>
        <w:t>finalidad terapéutica (finalidad = infección o colonización crónica). ‹‹DECISIÓN DE LOS AUTORES: la estimación principal incluye solo infección y la colonización crónica se estima aparte / se agrupan las dos, con análisis de sensibilidad››;</w:t>
      </w:r>
    </w:p>
    <w:p>
      <w:pPr>
        <w:pStyle w:val="ListNumber"/>
      </w:pPr>
      <w:r>
        <w:rPr>
          <w:rFonts w:ascii="Times New Roman" w:hAnsi="Times New Roman"/>
          <w:b w:val="0"/>
          <w:i w:val="0"/>
          <w:sz w:val="22"/>
        </w:rPr>
        <w:t>éxito clínico extraído como recuento binario (metrica_exito = recuento binario).</w:t>
      </w:r>
    </w:p>
    <w:p>
      <w:pPr>
        <w:jc w:val="both"/>
      </w:pPr>
      <w:r>
        <w:rPr>
          <w:rFonts w:ascii="Times New Roman" w:hAnsi="Times New Roman"/>
          <w:b w:val="0"/>
          <w:i w:val="0"/>
          <w:sz w:val="22"/>
        </w:rPr>
        <w:t>Para un efecto comparativo se exige además grupo concurrente sin fago (sección 15).</w:t>
      </w:r>
    </w:p>
    <w:p>
      <w:pPr>
        <w:jc w:val="both"/>
      </w:pPr>
      <w:r>
        <w:rPr>
          <w:rFonts w:ascii="Times New Roman" w:hAnsi="Times New Roman"/>
          <w:b/>
          <w:i w:val="0"/>
          <w:sz w:val="22"/>
        </w:rPr>
        <w:t>Desenlace que se agrupa.</w:t>
      </w:r>
      <w:r>
        <w:rPr>
          <w:rFonts w:ascii="Times New Roman" w:hAnsi="Times New Roman"/>
          <w:b w:val="0"/>
          <w:i w:val="0"/>
          <w:sz w:val="22"/>
        </w:rPr>
        <w:t xml:space="preserve"> El éxito clínico en la última medida que informe el artículo (momento_exito_dias). El requisito 5 se refiere al dato extraído en ese campo, no al desenlace principal del estudio.</w:t>
      </w:r>
    </w:p>
    <w:p>
      <w:pPr>
        <w:jc w:val="both"/>
      </w:pPr>
      <w:r>
        <w:rPr>
          <w:rFonts w:ascii="Times New Roman" w:hAnsi="Times New Roman"/>
          <w:b/>
          <w:i w:val="0"/>
          <w:sz w:val="22"/>
        </w:rPr>
        <w:t>Población de la estimación principal.</w:t>
      </w:r>
    </w:p>
    <w:p>
      <w:pPr>
        <w:pStyle w:val="ListBullet"/>
      </w:pPr>
      <w:r>
        <w:rPr>
          <w:rFonts w:ascii="Times New Roman" w:hAnsi="Times New Roman"/>
          <w:b w:val="0"/>
          <w:i w:val="0"/>
          <w:sz w:val="22"/>
        </w:rPr>
        <w:t>Entran los brazos MDR, XDR o PDR, o no clasificables.</w:t>
      </w:r>
    </w:p>
    <w:p>
      <w:pPr>
        <w:pStyle w:val="ListBullet"/>
      </w:pPr>
      <w:r>
        <w:rPr>
          <w:rFonts w:ascii="Times New Roman" w:hAnsi="Times New Roman"/>
          <w:b w:val="0"/>
          <w:i w:val="0"/>
          <w:sz w:val="22"/>
        </w:rPr>
        <w:t>Los brazos por debajo del umbral MDR entran solo en un análisis de sensibilidad.</w:t>
      </w:r>
    </w:p>
    <w:p>
      <w:pPr>
        <w:pStyle w:val="ListBullet"/>
      </w:pPr>
      <w:r>
        <w:rPr>
          <w:rFonts w:ascii="Times New Roman" w:hAnsi="Times New Roman"/>
          <w:b w:val="0"/>
          <w:i w:val="0"/>
          <w:sz w:val="22"/>
        </w:rPr>
        <w:t>Un brazo con pacientes de distinta clase se parte si el artículo da datos por paciente. Si no, se clasifica como mixto y sale de la estimación principal.</w:t>
      </w:r>
    </w:p>
    <w:p>
      <w:pPr>
        <w:jc w:val="both"/>
      </w:pPr>
      <w:r>
        <w:rPr>
          <w:rFonts w:ascii="Times New Roman" w:hAnsi="Times New Roman"/>
          <w:b/>
          <w:i w:val="0"/>
          <w:sz w:val="22"/>
        </w:rPr>
        <w:t>Pacientes compartidos.</w:t>
      </w:r>
      <w:r>
        <w:rPr>
          <w:rFonts w:ascii="Times New Roman" w:hAnsi="Times New Roman"/>
          <w:b w:val="0"/>
          <w:i w:val="0"/>
          <w:sz w:val="22"/>
        </w:rPr>
        <w:t xml:space="preserve"> Cada paciente cuenta una sola vez:</w:t>
      </w:r>
    </w:p>
    <w:p>
      <w:pPr>
        <w:pStyle w:val="ListBullet"/>
      </w:pPr>
      <w:r>
        <w:rPr>
          <w:rFonts w:ascii="Times New Roman" w:hAnsi="Times New Roman"/>
          <w:b w:val="0"/>
          <w:i w:val="0"/>
          <w:sz w:val="22"/>
        </w:rPr>
        <w:t>se conserva en el estudio que da su desenlace por separado y, a igualdad, en el más antiguo;</w:t>
      </w:r>
    </w:p>
    <w:p>
      <w:pPr>
        <w:pStyle w:val="ListBullet"/>
      </w:pPr>
      <w:r>
        <w:rPr>
          <w:rFonts w:ascii="Times New Roman" w:hAnsi="Times New Roman"/>
          <w:b w:val="0"/>
          <w:i w:val="0"/>
          <w:sz w:val="22"/>
        </w:rPr>
        <w:t>se retira del numerador y del denominador de los demás estudios cuando el artículo da datos por paciente;</w:t>
      </w:r>
    </w:p>
    <w:p>
      <w:pPr>
        <w:pStyle w:val="ListBullet"/>
      </w:pPr>
      <w:r>
        <w:rPr>
          <w:rFonts w:ascii="Times New Roman" w:hAnsi="Times New Roman"/>
          <w:b w:val="0"/>
          <w:i w:val="0"/>
          <w:sz w:val="22"/>
        </w:rPr>
        <w:t>si no se puede retirar, el brazo que lo contiene sale de la estimación principal y entra en un análisis de sensibilidad.</w:t>
      </w:r>
    </w:p>
    <w:p>
      <w:pPr>
        <w:jc w:val="both"/>
      </w:pPr>
      <w:r>
        <w:rPr>
          <w:rFonts w:ascii="Times New Roman" w:hAnsi="Times New Roman"/>
          <w:b/>
          <w:i w:val="0"/>
          <w:sz w:val="22"/>
        </w:rPr>
        <w:t>Umbral.</w:t>
      </w:r>
      <w:r>
        <w:rPr>
          <w:rFonts w:ascii="Times New Roman" w:hAnsi="Times New Roman"/>
          <w:b w:val="0"/>
          <w:i w:val="0"/>
          <w:sz w:val="22"/>
        </w:rPr>
        <w:t xml:space="preserve"> ‹‹DECISIÓN DE LOS AUTORES: se agrupa solo si, dentro de la población de la estimación principal y tras retirar los pacientes compartidos, al menos [k] brazos con denominador de al menos [m] pacientes, de al menos [j] estudios sin solapamiento entre sí, cumplen los requisitos 1 a 5; los brazos de un solo paciente [no cuentan para el umbral ni entran en la estimación principal / cuentan y entran, con análisis de sensibilidad sin ellos]›› El umbral es una convención de los autores, no procede de una fuente metodológica, y se fija conociendo el recuento aproximado de la sección 3.2.</w:t>
      </w:r>
    </w:p>
    <w:p>
      <w:pPr>
        <w:jc w:val="both"/>
      </w:pPr>
      <w:r>
        <w:rPr>
          <w:rFonts w:ascii="Times New Roman" w:hAnsi="Times New Roman"/>
          <w:b/>
          <w:i w:val="0"/>
          <w:sz w:val="22"/>
        </w:rPr>
        <w:t>Si se alcanza el umbral:</w:t>
      </w:r>
    </w:p>
    <w:p>
      <w:pPr>
        <w:pStyle w:val="ListBullet"/>
      </w:pPr>
      <w:r>
        <w:rPr>
          <w:rFonts w:ascii="Times New Roman" w:hAnsi="Times New Roman"/>
          <w:b/>
          <w:i w:val="0"/>
          <w:sz w:val="22"/>
        </w:rPr>
        <w:t>Modelo.</w:t>
      </w:r>
      <w:r>
        <w:rPr>
          <w:rFonts w:ascii="Times New Roman" w:hAnsi="Times New Roman"/>
          <w:b w:val="0"/>
          <w:i w:val="0"/>
          <w:sz w:val="22"/>
        </w:rPr>
        <w:t xml:space="preserve"> GLMM logit-normal (R, metafor, </w:t>
      </w:r>
      <w:r>
        <w:rPr>
          <w:rFonts w:ascii="Consolas" w:hAnsi="Consolas"/>
          <w:b w:val="0"/>
          <w:i w:val="0"/>
          <w:sz w:val="22"/>
        </w:rPr>
        <w:t>rma.glmm</w:t>
      </w:r>
      <w:r>
        <w:rPr>
          <w:rFonts w:ascii="Times New Roman" w:hAnsi="Times New Roman"/>
          <w:b w:val="0"/>
          <w:i w:val="0"/>
          <w:sz w:val="22"/>
        </w:rPr>
        <w:t>), con efecto aleatorio de estudio y, cuando un estudio aporta varios brazos, de brazo anidado en estudio. Se informan IC 95 %, τ² e intervalo de predicción al 95 %.</w:t>
      </w:r>
    </w:p>
    <w:p>
      <w:pPr>
        <w:pStyle w:val="ListBullet"/>
      </w:pPr>
      <w:r>
        <w:rPr>
          <w:rFonts w:ascii="Times New Roman" w:hAnsi="Times New Roman"/>
          <w:b/>
          <w:i w:val="0"/>
          <w:sz w:val="22"/>
        </w:rPr>
        <w:t>Efecto comparativo.</w:t>
      </w:r>
      <w:r>
        <w:rPr>
          <w:rFonts w:ascii="Times New Roman" w:hAnsi="Times New Roman"/>
          <w:b w:val="0"/>
          <w:i w:val="0"/>
          <w:sz w:val="22"/>
        </w:rPr>
        <w:t xml:space="preserve"> Razón de riesgos con IC 95 %. Se agrupa por efectos aleatorios solo si hay al menos 2 estudios con grupo concurrente sin fago del mismo diseño.</w:t>
      </w:r>
    </w:p>
    <w:p>
      <w:pPr>
        <w:pStyle w:val="ListBullet"/>
      </w:pPr>
      <w:r>
        <w:rPr>
          <w:rFonts w:ascii="Times New Roman" w:hAnsi="Times New Roman"/>
          <w:b/>
          <w:i w:val="0"/>
          <w:sz w:val="22"/>
        </w:rPr>
        <w:t>Subgrupos.</w:t>
      </w:r>
      <w:r>
        <w:rPr>
          <w:rFonts w:ascii="Times New Roman" w:hAnsi="Times New Roman"/>
          <w:b w:val="0"/>
          <w:i w:val="0"/>
          <w:sz w:val="22"/>
        </w:rPr>
        <w:t xml:space="preserve"> Ninguno.</w:t>
      </w:r>
    </w:p>
    <w:p>
      <w:pPr>
        <w:pStyle w:val="ListBullet"/>
      </w:pPr>
      <w:r>
        <w:rPr>
          <w:rFonts w:ascii="Times New Roman" w:hAnsi="Times New Roman"/>
          <w:b/>
          <w:i w:val="0"/>
          <w:sz w:val="22"/>
        </w:rPr>
        <w:t>Análisis de sensibilidad:</w:t>
      </w:r>
    </w:p>
    <w:p>
      <w:pPr>
        <w:pStyle w:val="ListNumber"/>
      </w:pPr>
      <w:r>
        <w:rPr>
          <w:rFonts w:ascii="Times New Roman" w:hAnsi="Times New Roman"/>
          <w:b w:val="0"/>
          <w:i w:val="0"/>
          <w:sz w:val="22"/>
        </w:rPr>
        <w:t>con los brazos por debajo del umbral MDR;</w:t>
      </w:r>
    </w:p>
    <w:p>
      <w:pPr>
        <w:pStyle w:val="ListNumber"/>
      </w:pPr>
      <w:r>
        <w:rPr>
          <w:rFonts w:ascii="Times New Roman" w:hAnsi="Times New Roman"/>
          <w:b w:val="0"/>
          <w:i w:val="0"/>
          <w:sz w:val="22"/>
        </w:rPr>
        <w:t>sin los brazos con pacientes compartidos, confirmados o probables;</w:t>
      </w:r>
    </w:p>
    <w:p>
      <w:pPr>
        <w:pStyle w:val="ListNumber"/>
      </w:pPr>
      <w:r>
        <w:rPr>
          <w:rFonts w:ascii="Times New Roman" w:hAnsi="Times New Roman"/>
          <w:b w:val="0"/>
          <w:i w:val="0"/>
          <w:sz w:val="22"/>
        </w:rPr>
        <w:t>con o sin los brazos de un solo paciente, según lo que no haga la estimación principal;</w:t>
      </w:r>
    </w:p>
    <w:p>
      <w:pPr>
        <w:pStyle w:val="ListNumber"/>
      </w:pPr>
      <w:r>
        <w:rPr>
          <w:rFonts w:ascii="Times New Roman" w:hAnsi="Times New Roman"/>
          <w:b w:val="0"/>
          <w:i w:val="0"/>
          <w:sz w:val="22"/>
        </w:rPr>
        <w:t>dejando fuera un estudio cada vez.</w:t>
      </w:r>
    </w:p>
    <w:p>
      <w:pPr>
        <w:pStyle w:val="ListBullet"/>
      </w:pPr>
      <w:r>
        <w:rPr>
          <w:rFonts w:ascii="Times New Roman" w:hAnsi="Times New Roman"/>
          <w:b/>
          <w:i w:val="0"/>
          <w:sz w:val="22"/>
        </w:rPr>
        <w:t>Certeza.</w:t>
      </w:r>
      <w:r>
        <w:rPr>
          <w:rFonts w:ascii="Times New Roman" w:hAnsi="Times New Roman"/>
          <w:b w:val="0"/>
          <w:i w:val="0"/>
          <w:sz w:val="22"/>
        </w:rPr>
        <w:t xml:space="preserve"> Se califica con GRADE: parte de alta para los ensayos aleatorizados y de baja para los estudios observacionales.</w:t>
      </w:r>
    </w:p>
    <w:p>
      <w:pPr>
        <w:jc w:val="both"/>
      </w:pPr>
      <w:r>
        <w:rPr>
          <w:rFonts w:ascii="Times New Roman" w:hAnsi="Times New Roman"/>
          <w:b/>
          <w:i w:val="0"/>
          <w:sz w:val="22"/>
        </w:rPr>
        <w:t>Si no se alcanza:</w:t>
      </w:r>
      <w:r>
        <w:rPr>
          <w:rFonts w:ascii="Times New Roman" w:hAnsi="Times New Roman"/>
          <w:b w:val="0"/>
          <w:i w:val="0"/>
          <w:sz w:val="22"/>
        </w:rPr>
        <w:t xml:space="preserve"> no se agrupa, no hay análisis estadísticos de subgrupos ni de sensibilidad, no se aplica GRADE, y la síntesis es narrativa (sección 16.2).</w:t>
      </w:r>
    </w:p>
    <w:p>
      <w:pPr>
        <w:pStyle w:val="Heading3"/>
      </w:pPr>
      <w:r>
        <w:rPr>
          <w:rFonts w:ascii="Times New Roman" w:hAnsi="Times New Roman"/>
          <w:b w:val="0"/>
          <w:i w:val="0"/>
          <w:sz w:val="22"/>
        </w:rPr>
        <w:t>16.4 Criterios para las conclusiones</w:t>
      </w:r>
    </w:p>
    <w:p>
      <w:pPr>
        <w:pStyle w:val="ListBullet"/>
      </w:pPr>
      <w:r>
        <w:rPr>
          <w:rFonts w:ascii="Times New Roman" w:hAnsi="Times New Roman"/>
          <w:b/>
          <w:i w:val="0"/>
          <w:sz w:val="22"/>
        </w:rPr>
        <w:t>Si no se alcanza el umbral.</w:t>
      </w:r>
      <w:r>
        <w:rPr>
          <w:rFonts w:ascii="Times New Roman" w:hAnsi="Times New Roman"/>
          <w:b w:val="0"/>
          <w:i w:val="0"/>
          <w:sz w:val="22"/>
        </w:rPr>
        <w:t xml:space="preserve"> La conclusión es que este cuerpo de evidencia no admite una proporción agrupada, y no se presenta ninguna.</w:t>
      </w:r>
    </w:p>
    <w:p>
      <w:pPr>
        <w:pStyle w:val="ListBullet"/>
      </w:pPr>
      <w:r>
        <w:rPr>
          <w:rFonts w:ascii="Times New Roman" w:hAnsi="Times New Roman"/>
          <w:b/>
          <w:i w:val="0"/>
          <w:sz w:val="22"/>
        </w:rPr>
        <w:t>Si se alcanza.</w:t>
      </w:r>
      <w:r>
        <w:rPr>
          <w:rFonts w:ascii="Times New Roman" w:hAnsi="Times New Roman"/>
          <w:b w:val="0"/>
          <w:i w:val="0"/>
          <w:sz w:val="22"/>
        </w:rPr>
        <w:t xml:space="preserve"> La estimación se presenta con su población, su certeza GRADE y sus análisis de sensibilidad, y no se extrapola a infecciones que no cubre.</w:t>
      </w:r>
    </w:p>
    <w:p>
      <w:pPr>
        <w:pStyle w:val="Heading3"/>
      </w:pPr>
      <w:r>
        <w:rPr>
          <w:rFonts w:ascii="Times New Roman" w:hAnsi="Times New Roman"/>
          <w:b w:val="0"/>
          <w:i w:val="0"/>
          <w:sz w:val="22"/>
        </w:rPr>
        <w:t>16.5 Efecto de los criterios del informe</w:t>
      </w:r>
    </w:p>
    <w:p>
      <w:pPr>
        <w:jc w:val="both"/>
      </w:pPr>
      <w:r>
        <w:rPr>
          <w:rFonts w:ascii="Times New Roman" w:hAnsi="Times New Roman"/>
          <w:b w:val="0"/>
          <w:i w:val="0"/>
          <w:sz w:val="22"/>
        </w:rPr>
        <w:t>Para los criterios de idioma (IDI) y de texto completo (NOTXT) se informa, por separado y en conjunto:</w:t>
      </w:r>
    </w:p>
    <w:p>
      <w:pPr>
        <w:pStyle w:val="ListBullet"/>
      </w:pPr>
      <w:r>
        <w:rPr>
          <w:rFonts w:ascii="Times New Roman" w:hAnsi="Times New Roman"/>
          <w:b w:val="0"/>
          <w:i w:val="0"/>
          <w:sz w:val="22"/>
        </w:rPr>
        <w:t>cuántos estudios deja fuera cada uno;</w:t>
      </w:r>
    </w:p>
    <w:p>
      <w:pPr>
        <w:pStyle w:val="ListBullet"/>
      </w:pPr>
      <w:r>
        <w:rPr>
          <w:rFonts w:ascii="Times New Roman" w:hAnsi="Times New Roman"/>
          <w:b w:val="0"/>
          <w:i w:val="0"/>
          <w:sz w:val="22"/>
        </w:rPr>
        <w:t>cuántos diseños comparativos, según la pre-extracción del modelo;</w:t>
      </w:r>
    </w:p>
    <w:p>
      <w:pPr>
        <w:pStyle w:val="ListBullet"/>
      </w:pPr>
      <w:r>
        <w:rPr>
          <w:rFonts w:ascii="Times New Roman" w:hAnsi="Times New Roman"/>
          <w:b w:val="0"/>
          <w:i w:val="0"/>
          <w:sz w:val="22"/>
        </w:rPr>
        <w:t>cuántos pacientes declarados.</w:t>
      </w:r>
    </w:p>
    <w:p>
      <w:pPr>
        <w:jc w:val="both"/>
      </w:pPr>
      <w:r>
        <w:rPr>
          <w:rFonts w:ascii="Times New Roman" w:hAnsi="Times New Roman"/>
          <w:b w:val="0"/>
          <w:i w:val="0"/>
          <w:sz w:val="22"/>
        </w:rPr>
        <w:t>Se cuentan además los estudios cuyo único motivo comprobable es IDI o NOTXT.</w:t>
      </w:r>
    </w:p>
    <w:p>
      <w:pPr>
        <w:pStyle w:val="Heading3"/>
      </w:pPr>
      <w:r>
        <w:rPr>
          <w:rFonts w:ascii="Times New Roman" w:hAnsi="Times New Roman"/>
          <w:b w:val="0"/>
          <w:i w:val="0"/>
          <w:sz w:val="22"/>
        </w:rPr>
        <w:t>16.6 Sesgos de publicación y de notificación</w:t>
      </w:r>
    </w:p>
    <w:p>
      <w:pPr>
        <w:jc w:val="both"/>
      </w:pPr>
      <w:r>
        <w:rPr>
          <w:rFonts w:ascii="Times New Roman" w:hAnsi="Times New Roman"/>
          <w:b/>
          <w:i w:val="0"/>
          <w:sz w:val="22"/>
        </w:rPr>
        <w:t>Registrado sin publicación.</w:t>
      </w:r>
      <w:r>
        <w:rPr>
          <w:rFonts w:ascii="Times New Roman" w:hAnsi="Times New Roman"/>
          <w:b w:val="0"/>
          <w:i w:val="0"/>
          <w:sz w:val="22"/>
        </w:rPr>
        <w:t xml:space="preserve"> Un estudio cuenta como tal si se cumplen las tres condiciones:</w:t>
      </w:r>
    </w:p>
    <w:p>
      <w:pPr>
        <w:pStyle w:val="ListBullet"/>
      </w:pPr>
      <w:r>
        <w:rPr>
          <w:rFonts w:ascii="Times New Roman" w:hAnsi="Times New Roman"/>
          <w:b w:val="0"/>
          <w:i w:val="0"/>
          <w:sz w:val="22"/>
        </w:rPr>
        <w:t>su ficha completa, leída por los dos autores, cumple las secciones 8.2 a 8.5;</w:t>
      </w:r>
    </w:p>
    <w:p>
      <w:pPr>
        <w:pStyle w:val="ListBullet"/>
      </w:pPr>
      <w:r>
        <w:rPr>
          <w:rFonts w:ascii="Times New Roman" w:hAnsi="Times New Roman"/>
          <w:b w:val="0"/>
          <w:i w:val="0"/>
          <w:sz w:val="22"/>
        </w:rPr>
        <w:t>su estado es completado, terminado o desconocido, con fecha de finalización primaria anterior en al menos 24 meses a la búsqueda;</w:t>
      </w:r>
    </w:p>
    <w:p>
      <w:pPr>
        <w:pStyle w:val="ListBullet"/>
      </w:pPr>
      <w:r>
        <w:rPr>
          <w:rFonts w:ascii="Times New Roman" w:hAnsi="Times New Roman"/>
          <w:b w:val="0"/>
          <w:i w:val="0"/>
          <w:sz w:val="22"/>
        </w:rPr>
        <w:t>no se localiza ninguna publicación (sección 12.3).</w:t>
      </w:r>
    </w:p>
    <w:p>
      <w:pPr>
        <w:jc w:val="both"/>
      </w:pPr>
      <w:r>
        <w:rPr>
          <w:rFonts w:ascii="Times New Roman" w:hAnsi="Times New Roman"/>
          <w:b w:val="0"/>
          <w:i w:val="0"/>
          <w:sz w:val="22"/>
        </w:rPr>
        <w:t>‹‹DECISIÓN DE LOS AUTORES: solo cuentan las fichas con fecha de finalización primaria desde [año]; las anteriores se cuentan aparte››. Las fichas sin organismo declarado, y los estudios no iniciados, en reclutamiento o retirados, también se cuentan aparte.</w:t>
      </w:r>
    </w:p>
    <w:p>
      <w:pPr>
        <w:jc w:val="both"/>
      </w:pPr>
      <w:r>
        <w:rPr>
          <w:rFonts w:ascii="Times New Roman" w:hAnsi="Times New Roman"/>
          <w:b/>
          <w:i w:val="0"/>
          <w:sz w:val="22"/>
        </w:rPr>
        <w:t>Notificación selectiva.</w:t>
      </w:r>
      <w:r>
        <w:rPr>
          <w:rFonts w:ascii="Times New Roman" w:hAnsi="Times New Roman"/>
          <w:b w:val="0"/>
          <w:i w:val="0"/>
          <w:sz w:val="22"/>
        </w:rPr>
        <w:t xml:space="preserve"> En los estudios con ficha y artículo, se compara el desenlace principal registrado con el publicado.</w:t>
      </w:r>
    </w:p>
    <w:p>
      <w:pPr>
        <w:jc w:val="both"/>
      </w:pPr>
      <w:r>
        <w:rPr>
          <w:rFonts w:ascii="Times New Roman" w:hAnsi="Times New Roman"/>
          <w:b/>
          <w:i w:val="0"/>
          <w:sz w:val="22"/>
        </w:rPr>
        <w:t>Pruebas de asimetría.</w:t>
      </w:r>
      <w:r>
        <w:rPr>
          <w:rFonts w:ascii="Times New Roman" w:hAnsi="Times New Roman"/>
          <w:b w:val="0"/>
          <w:i w:val="0"/>
          <w:sz w:val="22"/>
        </w:rPr>
        <w:t xml:space="preserve"> Solo si se agrupa y hay al menos 10 estudios.</w:t>
      </w:r>
    </w:p>
    <w:p>
      <w:pPr>
        <w:pStyle w:val="Heading3"/>
      </w:pPr>
      <w:r>
        <w:rPr>
          <w:rFonts w:ascii="Times New Roman" w:hAnsi="Times New Roman"/>
          <w:b w:val="0"/>
          <w:i w:val="0"/>
          <w:sz w:val="22"/>
        </w:rPr>
        <w:t>16.7 Enmascaramiento, fiabilidad y conciliación de la síntesis</w:t>
      </w:r>
    </w:p>
    <w:p>
      <w:pPr>
        <w:jc w:val="both"/>
      </w:pPr>
      <w:r>
        <w:rPr>
          <w:rFonts w:ascii="Times New Roman" w:hAnsi="Times New Roman"/>
          <w:b w:val="0"/>
          <w:i w:val="0"/>
          <w:sz w:val="22"/>
        </w:rPr>
        <w:t>La síntesis no se enmascara. Todas las cifras las calcula el canal desde los ficheros adjudicados y son reejecutables. No hay conciliación de la síntesis entre personas, porque no la calculan personas.</w:t>
      </w:r>
    </w:p>
    <w:p>
      <w:pPr>
        <w:pStyle w:val="Heading2"/>
      </w:pPr>
      <w:r>
        <w:rPr>
          <w:rFonts w:ascii="Times New Roman" w:hAnsi="Times New Roman"/>
          <w:b w:val="0"/>
          <w:i w:val="0"/>
          <w:sz w:val="26"/>
        </w:rPr>
        <w:t>17. Fase definitiva: orden de ejecución</w:t>
      </w:r>
    </w:p>
    <w:p>
      <w:pPr>
        <w:jc w:val="both"/>
      </w:pPr>
      <w:r>
        <w:rPr>
          <w:rFonts w:ascii="Times New Roman" w:hAnsi="Times New Roman"/>
          <w:b w:val="0"/>
          <w:i w:val="0"/>
          <w:sz w:val="22"/>
        </w:rPr>
        <w:t>Ninguna etapa empieza antes del depósito.</w:t>
      </w:r>
    </w:p>
    <w:p>
      <w:pPr>
        <w:pStyle w:val="ListNumber"/>
      </w:pPr>
      <w:r>
        <w:rPr>
          <w:rFonts w:ascii="Times New Roman" w:hAnsi="Times New Roman"/>
          <w:b w:val="0"/>
          <w:i w:val="0"/>
          <w:sz w:val="22"/>
        </w:rPr>
        <w:t>Separar el piloto (</w:t>
      </w:r>
      <w:r>
        <w:rPr>
          <w:rFonts w:ascii="Consolas" w:hAnsi="Consolas"/>
          <w:b w:val="0"/>
          <w:i w:val="0"/>
          <w:sz w:val="22"/>
        </w:rPr>
        <w:t>revision_sistematica/piloto/</w:t>
      </w:r>
      <w:r>
        <w:rPr>
          <w:rFonts w:ascii="Times New Roman" w:hAnsi="Times New Roman"/>
          <w:b w:val="0"/>
          <w:i w:val="0"/>
          <w:sz w:val="22"/>
        </w:rPr>
        <w:t>) y dejar inactivos los guiones que llevan decisiones del piloto.</w:t>
      </w:r>
    </w:p>
    <w:p>
      <w:pPr>
        <w:pStyle w:val="ListNumber"/>
      </w:pPr>
      <w:r>
        <w:rPr>
          <w:rFonts w:ascii="Times New Roman" w:hAnsi="Times New Roman"/>
          <w:b w:val="0"/>
          <w:i w:val="0"/>
          <w:sz w:val="22"/>
        </w:rPr>
        <w:t>Búsqueda (sección 10).</w:t>
      </w:r>
    </w:p>
    <w:p>
      <w:pPr>
        <w:pStyle w:val="ListNumber"/>
      </w:pPr>
      <w:r>
        <w:rPr>
          <w:rFonts w:ascii="Times New Roman" w:hAnsi="Times New Roman"/>
          <w:b w:val="0"/>
          <w:i w:val="0"/>
          <w:sz w:val="22"/>
        </w:rPr>
        <w:t>Deduplicación, y comprobación de que cada control positivo está en el pozo.</w:t>
      </w:r>
    </w:p>
    <w:p>
      <w:pPr>
        <w:pStyle w:val="ListNumber"/>
      </w:pPr>
      <w:r>
        <w:rPr>
          <w:rFonts w:ascii="Times New Roman" w:hAnsi="Times New Roman"/>
          <w:b w:val="0"/>
          <w:i w:val="0"/>
          <w:sz w:val="22"/>
        </w:rPr>
        <w:t>Etapa 1, y control positivo.</w:t>
      </w:r>
    </w:p>
    <w:p>
      <w:pPr>
        <w:pStyle w:val="ListNumber"/>
      </w:pPr>
      <w:r>
        <w:rPr>
          <w:rFonts w:ascii="Times New Roman" w:hAnsi="Times New Roman"/>
          <w:b w:val="0"/>
          <w:i w:val="0"/>
          <w:sz w:val="22"/>
        </w:rPr>
        <w:t>Etapas 2 y 3, y control positivo. D.V. examina y registra lo que avanza, sin poder excluir.</w:t>
      </w:r>
    </w:p>
    <w:p>
      <w:pPr>
        <w:pStyle w:val="ListNumber"/>
      </w:pPr>
      <w:r>
        <w:rPr>
          <w:rFonts w:ascii="Times New Roman" w:hAnsi="Times New Roman"/>
          <w:b w:val="0"/>
          <w:i w:val="0"/>
          <w:sz w:val="22"/>
        </w:rPr>
        <w:t>Recribado ciego. Lo que, tras el consenso, habría avanzado entra en el paso 7.</w:t>
      </w:r>
    </w:p>
    <w:p>
      <w:pPr>
        <w:pStyle w:val="ListNumber"/>
      </w:pPr>
      <w:r>
        <w:rPr>
          <w:rFonts w:ascii="Times New Roman" w:hAnsi="Times New Roman"/>
          <w:b w:val="0"/>
          <w:i w:val="0"/>
          <w:sz w:val="22"/>
        </w:rPr>
        <w:t>Agrupación en estudios, enlace de cada ficha con su publicación y descarga de la ficha completa de cada registro.</w:t>
      </w:r>
    </w:p>
    <w:p>
      <w:pPr>
        <w:pStyle w:val="ListNumber"/>
      </w:pPr>
      <w:r>
        <w:rPr>
          <w:rFonts w:ascii="Times New Roman" w:hAnsi="Times New Roman"/>
          <w:b w:val="0"/>
          <w:i w:val="0"/>
          <w:sz w:val="22"/>
        </w:rPr>
        <w:t>Obtención del texto completo, con los intentos en persona de D.V. y las solicitudes si se adoptan, hasta la fecha de corte; y estimación del idioma.</w:t>
      </w:r>
    </w:p>
    <w:p>
      <w:pPr>
        <w:pStyle w:val="ListNumber"/>
      </w:pPr>
      <w:r>
        <w:rPr>
          <w:rFonts w:ascii="Times New Roman" w:hAnsi="Times New Roman"/>
          <w:b w:val="0"/>
          <w:i w:val="0"/>
          <w:sz w:val="22"/>
        </w:rPr>
        <w:t>Elegibilidad por los dos autores, y control positivo.</w:t>
      </w:r>
    </w:p>
    <w:p>
      <w:pPr>
        <w:pStyle w:val="ListNumber"/>
      </w:pPr>
      <w:r>
        <w:rPr>
          <w:rFonts w:ascii="Times New Roman" w:hAnsi="Times New Roman"/>
          <w:b w:val="0"/>
          <w:i w:val="0"/>
          <w:sz w:val="22"/>
        </w:rPr>
        <w:t>Piloteo del formulario, y registro en OSF de los cambios que resulten.</w:t>
      </w:r>
    </w:p>
    <w:p>
      <w:pPr>
        <w:pStyle w:val="ListNumber"/>
      </w:pPr>
      <w:r>
        <w:rPr>
          <w:rFonts w:ascii="Times New Roman" w:hAnsi="Times New Roman"/>
          <w:b w:val="0"/>
          <w:i w:val="0"/>
          <w:sz w:val="22"/>
        </w:rPr>
        <w:t>Extracción por duplicado y adjudicación.</w:t>
      </w:r>
    </w:p>
    <w:p>
      <w:pPr>
        <w:pStyle w:val="ListNumber"/>
      </w:pPr>
      <w:r>
        <w:rPr>
          <w:rFonts w:ascii="Times New Roman" w:hAnsi="Times New Roman"/>
          <w:b w:val="0"/>
          <w:i w:val="0"/>
          <w:sz w:val="22"/>
        </w:rPr>
        <w:t>Relectura dirigida, examen del solapamiento y fusión de los estudios que resulten ser el mismo (sección 8.1), con nueva adjudicación de los campos afectados.</w:t>
      </w:r>
    </w:p>
    <w:p>
      <w:pPr>
        <w:pStyle w:val="ListNumber"/>
      </w:pPr>
      <w:r>
        <w:rPr>
          <w:rFonts w:ascii="Times New Roman" w:hAnsi="Times New Roman"/>
          <w:b w:val="0"/>
          <w:i w:val="0"/>
          <w:sz w:val="22"/>
        </w:rPr>
        <w:t>Pre-extracción del modelo desde el resumen, y su validación.</w:t>
      </w:r>
    </w:p>
    <w:p>
      <w:pPr>
        <w:pStyle w:val="ListNumber"/>
      </w:pPr>
      <w:r>
        <w:rPr>
          <w:rFonts w:ascii="Times New Roman" w:hAnsi="Times New Roman"/>
          <w:b w:val="0"/>
          <w:i w:val="0"/>
          <w:sz w:val="22"/>
        </w:rPr>
        <w:t>Riesgo de sesgo.</w:t>
      </w:r>
    </w:p>
    <w:p>
      <w:pPr>
        <w:pStyle w:val="ListNumber"/>
      </w:pPr>
      <w:r>
        <w:rPr>
          <w:rFonts w:ascii="Times New Roman" w:hAnsi="Times New Roman"/>
          <w:b w:val="0"/>
          <w:i w:val="0"/>
          <w:sz w:val="22"/>
        </w:rPr>
        <w:t>Síntesis.</w:t>
      </w:r>
    </w:p>
    <w:p>
      <w:pPr>
        <w:pStyle w:val="ListNumber"/>
      </w:pPr>
      <w:r>
        <w:rPr>
          <w:rFonts w:ascii="Times New Roman" w:hAnsi="Times New Roman"/>
          <w:b w:val="0"/>
          <w:i w:val="0"/>
          <w:sz w:val="22"/>
        </w:rPr>
        <w:t>Si han pasado más de seis meses desde la búsqueda: reejecución (sección 10), y paso de lo nuevo por los pasos 3 a 15.</w:t>
      </w:r>
    </w:p>
    <w:p>
      <w:pPr>
        <w:pStyle w:val="ListNumber"/>
      </w:pPr>
      <w:r>
        <w:rPr>
          <w:rFonts w:ascii="Times New Roman" w:hAnsi="Times New Roman"/>
          <w:b w:val="0"/>
          <w:i w:val="0"/>
          <w:sz w:val="22"/>
        </w:rPr>
        <w:t>Comparación con el piloto (sección 3.5).</w:t>
      </w:r>
    </w:p>
    <w:p>
      <w:pPr>
        <w:jc w:val="both"/>
      </w:pPr>
      <w:r>
        <w:rPr>
          <w:rFonts w:ascii="Times New Roman" w:hAnsi="Times New Roman"/>
          <w:b w:val="0"/>
          <w:i w:val="0"/>
          <w:sz w:val="22"/>
        </w:rPr>
        <w:t>Cada etapa queda fechada en el registro de decisiones.</w:t>
      </w:r>
    </w:p>
    <w:p>
      <w:pPr>
        <w:pStyle w:val="Heading2"/>
      </w:pPr>
      <w:r>
        <w:rPr>
          <w:rFonts w:ascii="Times New Roman" w:hAnsi="Times New Roman"/>
          <w:b w:val="0"/>
          <w:i w:val="0"/>
          <w:sz w:val="26"/>
        </w:rPr>
        <w:t>18. Declaraciones</w:t>
      </w:r>
    </w:p>
    <w:p>
      <w:pPr>
        <w:pStyle w:val="ListBullet"/>
      </w:pPr>
      <w:r>
        <w:rPr>
          <w:rFonts w:ascii="Times New Roman" w:hAnsi="Times New Roman"/>
          <w:b/>
          <w:i w:val="0"/>
          <w:sz w:val="22"/>
        </w:rPr>
        <w:t>Financiación:</w:t>
      </w:r>
      <w:r>
        <w:rPr>
          <w:rFonts w:ascii="Times New Roman" w:hAnsi="Times New Roman"/>
          <w:b w:val="0"/>
          <w:i w:val="0"/>
          <w:sz w:val="22"/>
        </w:rPr>
        <w:t xml:space="preserve"> ninguna.</w:t>
      </w:r>
    </w:p>
    <w:p>
      <w:pPr>
        <w:pStyle w:val="ListBullet"/>
      </w:pPr>
      <w:r>
        <w:rPr>
          <w:rFonts w:ascii="Times New Roman" w:hAnsi="Times New Roman"/>
          <w:b/>
          <w:i w:val="0"/>
          <w:sz w:val="22"/>
        </w:rPr>
        <w:t>Patrocinador:</w:t>
      </w:r>
      <w:r>
        <w:rPr>
          <w:rFonts w:ascii="Times New Roman" w:hAnsi="Times New Roman"/>
          <w:b w:val="0"/>
          <w:i w:val="0"/>
          <w:sz w:val="22"/>
        </w:rPr>
        <w:t xml:space="preserve"> ninguno. La Universidad Católica de Cuenca aporta el acceso a las bases mediante su suscripción y no interviene en el protocolo.</w:t>
      </w:r>
    </w:p>
    <w:p>
      <w:pPr>
        <w:pStyle w:val="ListBullet"/>
      </w:pPr>
      <w:r>
        <w:rPr>
          <w:rFonts w:ascii="Times New Roman" w:hAnsi="Times New Roman"/>
          <w:b/>
          <w:i w:val="0"/>
          <w:sz w:val="22"/>
        </w:rPr>
        <w:t>Conflictos de interés:</w:t>
      </w:r>
      <w:r>
        <w:rPr>
          <w:rFonts w:ascii="Times New Roman" w:hAnsi="Times New Roman"/>
          <w:b w:val="0"/>
          <w:i w:val="0"/>
          <w:sz w:val="22"/>
        </w:rPr>
        <w:t xml:space="preserve"> ninguno.</w:t>
      </w:r>
    </w:p>
    <w:p>
      <w:pPr>
        <w:pStyle w:val="Heading2"/>
      </w:pPr>
      <w:r>
        <w:rPr>
          <w:rFonts w:ascii="Times New Roman" w:hAnsi="Times New Roman"/>
          <w:b w:val="0"/>
          <w:i w:val="0"/>
          <w:sz w:val="26"/>
        </w:rPr>
        <w:t>19. Uso de inteligencia artificial</w:t>
      </w:r>
    </w:p>
    <w:p>
      <w:pPr>
        <w:jc w:val="both"/>
      </w:pPr>
      <w:r>
        <w:rPr>
          <w:rFonts w:ascii="Times New Roman" w:hAnsi="Times New Roman"/>
          <w:b/>
          <w:i w:val="0"/>
          <w:sz w:val="22"/>
        </w:rPr>
        <w:t>Cribado.</w:t>
      </w:r>
      <w:r>
        <w:rPr>
          <w:rFonts w:ascii="Times New Roman" w:hAnsi="Times New Roman"/>
          <w:b w:val="0"/>
          <w:i w:val="0"/>
          <w:sz w:val="22"/>
        </w:rPr>
        <w:t xml:space="preserve"> El cribado de títulos y resúmenes lo conduce un solo revisor humano (D.V.), sin duplicación por un segundo revisor.</w:t>
      </w:r>
    </w:p>
    <w:p>
      <w:pPr>
        <w:pStyle w:val="ListBullet"/>
      </w:pPr>
      <w:r>
        <w:rPr>
          <w:rFonts w:ascii="Times New Roman" w:hAnsi="Times New Roman"/>
          <w:b w:val="0"/>
          <w:i w:val="0"/>
          <w:sz w:val="22"/>
        </w:rPr>
        <w:t>Un modelo de lenguaje generativo de la familia Claude (Anthropic) emite las decisiones registro a registro de las etapas 2 y 3. Aplica los criterios y el vocabulario cerrado de este protocolo y las instrucciones literales del anexo C, que redactó él mismo.</w:t>
      </w:r>
    </w:p>
    <w:p>
      <w:pPr>
        <w:pStyle w:val="ListBullet"/>
      </w:pPr>
      <w:r>
        <w:rPr>
          <w:rFonts w:ascii="Times New Roman" w:hAnsi="Times New Roman"/>
          <w:b w:val="0"/>
          <w:i w:val="0"/>
          <w:sz w:val="22"/>
        </w:rPr>
        <w:t>Las decisiones se emiten en sesiones de Claude Code aisladas del repositorio (sección 3.5). No se controlan la temperatura ni la semilla de generación; se registra el identificador del modelo en cada decisión.</w:t>
      </w:r>
    </w:p>
    <w:p>
      <w:pPr>
        <w:pStyle w:val="ListBullet"/>
      </w:pPr>
      <w:r>
        <w:rPr>
          <w:rFonts w:ascii="Times New Roman" w:hAnsi="Times New Roman"/>
          <w:b w:val="0"/>
          <w:i w:val="0"/>
          <w:sz w:val="22"/>
        </w:rPr>
        <w:t xml:space="preserve">Los informes que superan la etapa 3 los examina D.V. uno a uno. </w:t>
      </w:r>
      <w:r>
        <w:rPr>
          <w:rFonts w:ascii="Times New Roman" w:hAnsi="Times New Roman"/>
          <w:b/>
          <w:i w:val="0"/>
          <w:sz w:val="22"/>
        </w:rPr>
        <w:t>Los que el modelo excluye no los relee ningún humano</w:t>
      </w:r>
      <w:r>
        <w:rPr>
          <w:rFonts w:ascii="Times New Roman" w:hAnsi="Times New Roman"/>
          <w:b w:val="0"/>
          <w:i w:val="0"/>
          <w:sz w:val="22"/>
        </w:rPr>
        <w:t>, salvo los 350 de la muestra de la sección 12.6.</w:t>
      </w:r>
    </w:p>
    <w:p>
      <w:pPr>
        <w:jc w:val="both"/>
      </w:pPr>
      <w:r>
        <w:rPr>
          <w:rFonts w:ascii="Times New Roman" w:hAnsi="Times New Roman"/>
          <w:b/>
          <w:i w:val="0"/>
          <w:sz w:val="22"/>
        </w:rPr>
        <w:t>Pre-extracción.</w:t>
      </w:r>
      <w:r>
        <w:rPr>
          <w:rFonts w:ascii="Times New Roman" w:hAnsi="Times New Roman"/>
          <w:b w:val="0"/>
          <w:i w:val="0"/>
          <w:sz w:val="22"/>
        </w:rPr>
        <w:t xml:space="preserve"> El modelo emite también la pre-extracción desde el resumen. Es la única fuente de las medidas de completitud del resumen y del efecto de los criterios del informe (sección 16), y N.T. la valida en el 20 % de los estudios.</w:t>
      </w:r>
    </w:p>
    <w:p>
      <w:pPr>
        <w:jc w:val="both"/>
      </w:pPr>
      <w:r>
        <w:rPr>
          <w:rFonts w:ascii="Times New Roman" w:hAnsi="Times New Roman"/>
          <w:b/>
          <w:i w:val="0"/>
          <w:sz w:val="22"/>
        </w:rPr>
        <w:t>Canal.</w:t>
      </w:r>
      <w:r>
        <w:rPr>
          <w:rFonts w:ascii="Times New Roman" w:hAnsi="Times New Roman"/>
          <w:b w:val="0"/>
          <w:i w:val="0"/>
          <w:sz w:val="22"/>
        </w:rPr>
        <w:t xml:space="preserve"> El modelo escribió y ejecuta el código del canal:</w:t>
      </w:r>
    </w:p>
    <w:p>
      <w:pPr>
        <w:pStyle w:val="ListBullet"/>
      </w:pPr>
      <w:r>
        <w:rPr>
          <w:rFonts w:ascii="Times New Roman" w:hAnsi="Times New Roman"/>
          <w:b w:val="0"/>
          <w:i w:val="0"/>
          <w:sz w:val="22"/>
        </w:rPr>
        <w:t>la descarga de PubMed y ClinicalTrials.gov por API, a petición de D.V.;</w:t>
      </w:r>
    </w:p>
    <w:p>
      <w:pPr>
        <w:pStyle w:val="ListBullet"/>
      </w:pPr>
      <w:r>
        <w:rPr>
          <w:rFonts w:ascii="Times New Roman" w:hAnsi="Times New Roman"/>
          <w:b w:val="0"/>
          <w:i w:val="0"/>
          <w:sz w:val="22"/>
        </w:rPr>
        <w:t>la deduplicación y la etapa 1;</w:t>
      </w:r>
    </w:p>
    <w:p>
      <w:pPr>
        <w:pStyle w:val="ListBullet"/>
      </w:pPr>
      <w:r>
        <w:rPr>
          <w:rFonts w:ascii="Times New Roman" w:hAnsi="Times New Roman"/>
          <w:b w:val="0"/>
          <w:i w:val="0"/>
          <w:sz w:val="22"/>
        </w:rPr>
        <w:t>la propuesta de agrupación;</w:t>
      </w:r>
    </w:p>
    <w:p>
      <w:pPr>
        <w:pStyle w:val="ListBullet"/>
      </w:pPr>
      <w:r>
        <w:rPr>
          <w:rFonts w:ascii="Times New Roman" w:hAnsi="Times New Roman"/>
          <w:b w:val="0"/>
          <w:i w:val="0"/>
          <w:sz w:val="22"/>
        </w:rPr>
        <w:t>la localización y descarga de los textos completos. De lo que no consigue, y de los intentos de D.V. en persona, depende NOTXT, que firman los dos autores;</w:t>
      </w:r>
    </w:p>
    <w:p>
      <w:pPr>
        <w:pStyle w:val="ListBullet"/>
      </w:pPr>
      <w:r>
        <w:rPr>
          <w:rFonts w:ascii="Times New Roman" w:hAnsi="Times New Roman"/>
          <w:b w:val="0"/>
          <w:i w:val="0"/>
          <w:sz w:val="22"/>
        </w:rPr>
        <w:t>la estimación del idioma del cuerpo de cada artículo, que es el dato en que se apoya IDI;</w:t>
      </w:r>
    </w:p>
    <w:p>
      <w:pPr>
        <w:pStyle w:val="ListBullet"/>
      </w:pPr>
      <w:r>
        <w:rPr>
          <w:rFonts w:ascii="Times New Roman" w:hAnsi="Times New Roman"/>
          <w:b w:val="0"/>
          <w:i w:val="0"/>
          <w:sz w:val="22"/>
        </w:rPr>
        <w:t>la muestra del recribado ciego y los pares candidatos de solapamiento;</w:t>
      </w:r>
    </w:p>
    <w:p>
      <w:pPr>
        <w:pStyle w:val="ListBullet"/>
      </w:pPr>
      <w:r>
        <w:rPr>
          <w:rFonts w:ascii="Times New Roman" w:hAnsi="Times New Roman"/>
          <w:b w:val="0"/>
          <w:i w:val="0"/>
          <w:sz w:val="22"/>
        </w:rPr>
        <w:t>la generación de los cuadernos que rellenan los autores, sin valores precargados, y la comparación, normalización e ingesta de sus respuestas, con las normalizaciones publicadas;</w:t>
      </w:r>
    </w:p>
    <w:p>
      <w:pPr>
        <w:pStyle w:val="ListBullet"/>
      </w:pPr>
      <w:r>
        <w:rPr>
          <w:rFonts w:ascii="Times New Roman" w:hAnsi="Times New Roman"/>
          <w:b w:val="0"/>
          <w:i w:val="0"/>
          <w:sz w:val="22"/>
        </w:rPr>
        <w:t>el cálculo de cifras, tablas y figuras.</w:t>
      </w:r>
    </w:p>
    <w:p>
      <w:pPr>
        <w:jc w:val="both"/>
      </w:pPr>
      <w:r>
        <w:rPr>
          <w:rFonts w:ascii="Times New Roman" w:hAnsi="Times New Roman"/>
          <w:b/>
          <w:i w:val="0"/>
          <w:sz w:val="22"/>
        </w:rPr>
        <w:t>Redacción.</w:t>
      </w:r>
    </w:p>
    <w:p>
      <w:pPr>
        <w:pStyle w:val="ListBullet"/>
      </w:pPr>
      <w:r>
        <w:rPr>
          <w:rFonts w:ascii="Times New Roman" w:hAnsi="Times New Roman"/>
          <w:b w:val="0"/>
          <w:i w:val="0"/>
          <w:sz w:val="22"/>
        </w:rPr>
        <w:t>El modelo redacta los borradores del informe y de los manuscritos, sobre las cifras del canal, y los autores los revisan y los aprueban.</w:t>
      </w:r>
    </w:p>
    <w:p>
      <w:pPr>
        <w:pStyle w:val="ListBullet"/>
      </w:pPr>
      <w:r>
        <w:rPr>
          <w:rFonts w:ascii="Times New Roman" w:hAnsi="Times New Roman"/>
          <w:b w:val="0"/>
          <w:i w:val="0"/>
          <w:sz w:val="22"/>
        </w:rPr>
        <w:t>Redactó también el borrador de este protocolo, incluidas sus definiciones, sus reglas y los anexos B y C. Los autores lo aprueban antes del depósito, y sus cambios constan en el historial del repositorio.</w:t>
      </w:r>
    </w:p>
    <w:p>
      <w:pPr>
        <w:pStyle w:val="ListBullet"/>
      </w:pPr>
      <w:r>
        <w:rPr>
          <w:rFonts w:ascii="Times New Roman" w:hAnsi="Times New Roman"/>
          <w:b w:val="0"/>
          <w:i w:val="0"/>
          <w:sz w:val="22"/>
        </w:rPr>
        <w:t>El protocolo se revisó con rondas de crítica hechas por el mismo modelo.</w:t>
      </w:r>
    </w:p>
    <w:p>
      <w:pPr>
        <w:pStyle w:val="ListBullet"/>
      </w:pPr>
      <w:r>
        <w:rPr>
          <w:rFonts w:ascii="Times New Roman" w:hAnsi="Times New Roman"/>
          <w:b w:val="0"/>
          <w:i w:val="0"/>
          <w:sz w:val="22"/>
        </w:rPr>
        <w:t>Los umbrales y las demás decisiones marcadas como de los autores los fijan ellos.</w:t>
      </w:r>
    </w:p>
    <w:p>
      <w:pPr>
        <w:jc w:val="both"/>
      </w:pPr>
      <w:r>
        <w:rPr>
          <w:rFonts w:ascii="Times New Roman" w:hAnsi="Times New Roman"/>
          <w:b/>
          <w:i w:val="0"/>
          <w:sz w:val="22"/>
        </w:rPr>
        <w:t>Las ecuaciones.</w:t>
      </w:r>
      <w:r>
        <w:rPr>
          <w:rFonts w:ascii="Times New Roman" w:hAnsi="Times New Roman"/>
          <w:b w:val="0"/>
          <w:i w:val="0"/>
          <w:sz w:val="22"/>
        </w:rPr>
        <w:t xml:space="preserve"> Las del anexo A vienen del piloto, donde, según declara D.V., las diseñó con la participación del modelo (sección 3.1). En la fase definitiva no se modifican.</w:t>
      </w:r>
    </w:p>
    <w:p>
      <w:pPr>
        <w:jc w:val="both"/>
      </w:pPr>
      <w:r>
        <w:rPr>
          <w:rFonts w:ascii="Times New Roman" w:hAnsi="Times New Roman"/>
          <w:b/>
          <w:i w:val="0"/>
          <w:sz w:val="22"/>
        </w:rPr>
        <w:t>Lo que el modelo no hace.</w:t>
      </w:r>
      <w:r>
        <w:rPr>
          <w:rFonts w:ascii="Times New Roman" w:hAnsi="Times New Roman"/>
          <w:b w:val="0"/>
          <w:i w:val="0"/>
          <w:sz w:val="22"/>
        </w:rPr>
        <w:t xml:space="preserve"> No emite juicios de elegibilidad a texto completo, de extracción ni de riesgo de sesgo, ni participa en el recribado ciego. No ejecuta las búsquedas en las interfaces. Los cuadernos que reciben los autores no llevan veredictos, citas ni valores propuestos por él.</w:t>
      </w:r>
    </w:p>
    <w:p>
      <w:pPr>
        <w:pStyle w:val="Heading2"/>
      </w:pPr>
      <w:r>
        <w:rPr>
          <w:rFonts w:ascii="Times New Roman" w:hAnsi="Times New Roman"/>
          <w:b w:val="0"/>
          <w:i w:val="0"/>
          <w:sz w:val="26"/>
        </w:rPr>
        <w:t>Anexo A. Ecuaciones de búsqueda</w:t>
      </w:r>
    </w:p>
    <w:p>
      <w:pPr>
        <w:pStyle w:val="Heading3"/>
      </w:pPr>
      <w:r>
        <w:rPr>
          <w:rFonts w:ascii="Times New Roman" w:hAnsi="Times New Roman"/>
          <w:b w:val="0"/>
          <w:i w:val="0"/>
          <w:sz w:val="22"/>
        </w:rPr>
        <w:t>PubMed</w:t>
      </w:r>
    </w:p>
    <w:p>
      <w:pPr>
        <w:spacing w:after="0"/>
      </w:pPr>
      <w:r>
        <w:rPr>
          <w:rFonts w:ascii="Consolas" w:hAnsi="Consolas"/>
          <w:b w:val="0"/>
          <w:i w:val="0"/>
          <w:sz w:val="18"/>
        </w:rPr>
        <w:t>ORG   = ("Pseudomonas aeruginosa"[tiab] OR "P. aeruginosa"[tiab] OR "Pseudomonas aeruginosa"[MeSH])</w:t>
      </w:r>
    </w:p>
    <w:p>
      <w:pPr>
        <w:spacing w:after="0"/>
      </w:pPr>
      <w:r>
        <w:rPr>
          <w:rFonts w:ascii="Consolas" w:hAnsi="Consolas"/>
          <w:b w:val="0"/>
          <w:i w:val="0"/>
          <w:sz w:val="18"/>
        </w:rPr>
        <w:t>PHAGE = ("phage"[tiab] OR "bacteriophage"[tiab] OR "phage therapy"[tiab] OR "bacteriophage therapy"[tiab]</w:t>
      </w:r>
    </w:p>
    <w:p>
      <w:pPr>
        <w:spacing w:after="0"/>
      </w:pPr>
      <w:r>
        <w:rPr>
          <w:rFonts w:ascii="Consolas" w:hAnsi="Consolas"/>
          <w:b w:val="0"/>
          <w:i w:val="0"/>
          <w:sz w:val="18"/>
        </w:rPr>
        <w:t xml:space="preserve">         OR "phagotherapy"[tiab] OR "Bacteriophages"[MeSH] OR "Phage Therapy"[MeSH])</w:t>
      </w:r>
    </w:p>
    <w:p>
      <w:pPr>
        <w:spacing w:after="0"/>
      </w:pPr>
      <w:r>
        <w:rPr>
          <w:rFonts w:ascii="Consolas" w:hAnsi="Consolas"/>
          <w:b w:val="0"/>
          <w:i w:val="0"/>
          <w:sz w:val="18"/>
        </w:rPr>
        <w:t>CLIN  = (case reports[pt] OR clinical trial[pt] OR observational study[pt] OR comparative study[pt]</w:t>
      </w:r>
    </w:p>
    <w:p>
      <w:pPr>
        <w:spacing w:after="0"/>
      </w:pPr>
      <w:r>
        <w:rPr>
          <w:rFonts w:ascii="Consolas" w:hAnsi="Consolas"/>
          <w:b w:val="0"/>
          <w:i w:val="0"/>
          <w:sz w:val="18"/>
        </w:rPr>
        <w:t xml:space="preserve">         OR multicenter study[pt] OR journal article[pt])</w:t>
      </w:r>
    </w:p>
    <w:p>
      <w:pPr>
        <w:spacing w:after="0"/>
      </w:pPr>
      <w:r>
        <w:rPr>
          <w:rFonts w:ascii="Consolas" w:hAnsi="Consolas"/>
          <w:b w:val="0"/>
          <w:i w:val="0"/>
          <w:sz w:val="18"/>
        </w:rPr>
        <w:t>VENTANA = ("2016"[dp] : "2026"[dp])</w:t>
      </w:r>
    </w:p>
    <w:p>
      <w:pPr>
        <w:spacing w:after="0"/>
      </w:pPr>
      <w:r>
        <w:rPr>
          <w:rFonts w:ascii="Consolas" w:hAnsi="Consolas"/>
          <w:b w:val="0"/>
          <w:i w:val="0"/>
          <w:sz w:val="18"/>
        </w:rPr>
        <w:t>Brazo A: ORG AND PHAGE AND CLIN AND VENTANA</w:t>
      </w:r>
    </w:p>
    <w:p>
      <w:pPr>
        <w:spacing w:after="0"/>
      </w:pPr>
      <w:r>
        <w:rPr>
          <w:rFonts w:ascii="Consolas" w:hAnsi="Consolas"/>
          <w:b w:val="0"/>
          <w:i w:val="0"/>
          <w:sz w:val="18"/>
        </w:rPr>
        <w:t>Brazo B: PHAGE AND humans[mh] AND VENTANA</w:t>
      </w:r>
    </w:p>
    <w:p>
      <w:pPr>
        <w:pStyle w:val="Heading3"/>
      </w:pPr>
      <w:r>
        <w:rPr>
          <w:rFonts w:ascii="Times New Roman" w:hAnsi="Times New Roman"/>
          <w:b w:val="0"/>
          <w:i w:val="0"/>
          <w:sz w:val="22"/>
        </w:rPr>
        <w:t>Scopus</w:t>
      </w:r>
    </w:p>
    <w:p>
      <w:pPr>
        <w:jc w:val="both"/>
      </w:pPr>
      <w:r>
        <w:rPr>
          <w:rFonts w:ascii="Times New Roman" w:hAnsi="Times New Roman"/>
          <w:b w:val="0"/>
          <w:i w:val="0"/>
          <w:sz w:val="22"/>
        </w:rPr>
        <w:t>La consulta se pasa como parámetro de la URL de resultados y no se teclea en la caja, para que el traductor del navegador no la reescriba.</w:t>
      </w:r>
    </w:p>
    <w:p>
      <w:pPr>
        <w:spacing w:after="0"/>
      </w:pPr>
      <w:r>
        <w:rPr>
          <w:rFonts w:ascii="Consolas" w:hAnsi="Consolas"/>
          <w:b w:val="0"/>
          <w:i w:val="0"/>
          <w:sz w:val="18"/>
        </w:rPr>
        <w:t>Brazo A:</w:t>
      </w:r>
    </w:p>
    <w:p>
      <w:pPr>
        <w:spacing w:after="0"/>
      </w:pPr>
      <w:r>
        <w:rPr>
          <w:rFonts w:ascii="Consolas" w:hAnsi="Consolas"/>
          <w:b w:val="0"/>
          <w:i w:val="0"/>
          <w:sz w:val="18"/>
        </w:rPr>
        <w:t>TITLE-ABS-KEY ( ( "Pseudomonas aeruginosa" OR "P. aeruginosa" OR pseudomonal )</w:t>
      </w:r>
    </w:p>
    <w:p>
      <w:pPr>
        <w:spacing w:after="0"/>
      </w:pPr>
      <w:r>
        <w:rPr>
          <w:rFonts w:ascii="Consolas" w:hAnsi="Consolas"/>
          <w:b w:val="0"/>
          <w:i w:val="0"/>
          <w:sz w:val="18"/>
        </w:rPr>
        <w:t xml:space="preserve">  AND ( phage</w:t>
      </w:r>
      <w:r>
        <w:rPr>
          <w:rFonts w:ascii="Consolas" w:hAnsi="Consolas"/>
          <w:b w:val="0"/>
          <w:i/>
          <w:sz w:val="18"/>
        </w:rPr>
        <w:t xml:space="preserve"> OR bacteriophage</w:t>
      </w:r>
      <w:r>
        <w:rPr>
          <w:rFonts w:ascii="Consolas" w:hAnsi="Consolas"/>
          <w:b w:val="0"/>
          <w:i w:val="0"/>
          <w:sz w:val="18"/>
        </w:rPr>
        <w:t xml:space="preserve"> OR phagotherap* OR "phage therapy" OR "phage cocktail"</w:t>
      </w:r>
    </w:p>
    <w:p>
      <w:pPr>
        <w:spacing w:after="0"/>
      </w:pPr>
      <w:r>
        <w:rPr>
          <w:rFonts w:ascii="Consolas" w:hAnsi="Consolas"/>
          <w:b w:val="0"/>
          <w:i w:val="0"/>
          <w:sz w:val="18"/>
        </w:rPr>
        <w:t xml:space="preserve">        OR pyophage OR intestiphage ) )</w:t>
      </w:r>
    </w:p>
    <w:p>
      <w:pPr>
        <w:spacing w:after="0"/>
      </w:pPr>
      <w:r>
        <w:rPr>
          <w:rFonts w:ascii="Consolas" w:hAnsi="Consolas"/>
          <w:b w:val="0"/>
          <w:i w:val="0"/>
          <w:sz w:val="18"/>
        </w:rPr>
        <w:t>AND PUBYEAR &gt; 2015 AND PUBYEAR &lt; 2027</w:t>
      </w:r>
    </w:p>
    <w:p>
      <w:pPr>
        <w:spacing w:after="0"/>
      </w:pPr>
    </w:p>
    <w:p>
      <w:pPr>
        <w:spacing w:after="0"/>
      </w:pPr>
      <w:r>
        <w:rPr>
          <w:rFonts w:ascii="Consolas" w:hAnsi="Consolas"/>
          <w:b w:val="0"/>
          <w:i w:val="0"/>
          <w:sz w:val="18"/>
        </w:rPr>
        <w:t>Brazo B:</w:t>
      </w:r>
    </w:p>
    <w:p>
      <w:pPr>
        <w:spacing w:after="0"/>
      </w:pPr>
      <w:r>
        <w:rPr>
          <w:rFonts w:ascii="Consolas" w:hAnsi="Consolas"/>
          <w:b w:val="0"/>
          <w:i w:val="0"/>
          <w:sz w:val="18"/>
        </w:rPr>
        <w:t>TITLE-ABS-KEY ( ( phage</w:t>
      </w:r>
      <w:r>
        <w:rPr>
          <w:rFonts w:ascii="Consolas" w:hAnsi="Consolas"/>
          <w:b w:val="0"/>
          <w:i/>
          <w:sz w:val="18"/>
        </w:rPr>
        <w:t xml:space="preserve"> OR bacteriophage</w:t>
      </w:r>
      <w:r>
        <w:rPr>
          <w:rFonts w:ascii="Consolas" w:hAnsi="Consolas"/>
          <w:b w:val="0"/>
          <w:i w:val="0"/>
          <w:sz w:val="18"/>
        </w:rPr>
        <w:t xml:space="preserve"> OR phagotherap* )</w:t>
      </w:r>
    </w:p>
    <w:p>
      <w:pPr>
        <w:spacing w:after="0"/>
      </w:pPr>
      <w:r>
        <w:rPr>
          <w:rFonts w:ascii="Consolas" w:hAnsi="Consolas"/>
          <w:b w:val="0"/>
          <w:i w:val="0"/>
          <w:sz w:val="18"/>
        </w:rPr>
        <w:t xml:space="preserve">  AND ( "phage therapy" OR "bacteriophage therapy" OR compassionate OR salvage OR "expanded access"</w:t>
      </w:r>
    </w:p>
    <w:p>
      <w:pPr>
        <w:spacing w:after="0"/>
      </w:pPr>
      <w:r>
        <w:rPr>
          <w:rFonts w:ascii="Consolas" w:hAnsi="Consolas"/>
          <w:b w:val="0"/>
          <w:i w:val="0"/>
          <w:sz w:val="18"/>
        </w:rPr>
        <w:t xml:space="preserve">        OR "named patient" OR "case report" OR "case series" OR patient OR patients OR clinical ) )</w:t>
      </w:r>
    </w:p>
    <w:p>
      <w:pPr>
        <w:spacing w:after="0"/>
      </w:pPr>
      <w:r>
        <w:rPr>
          <w:rFonts w:ascii="Consolas" w:hAnsi="Consolas"/>
          <w:b w:val="0"/>
          <w:i w:val="0"/>
          <w:sz w:val="18"/>
        </w:rPr>
        <w:t>AND PUBYEAR &gt; 2015 AND PUBYEAR &lt; 2027</w:t>
      </w:r>
    </w:p>
    <w:p>
      <w:pPr>
        <w:spacing w:after="0"/>
      </w:pPr>
      <w:r>
        <w:rPr>
          <w:rFonts w:ascii="Consolas" w:hAnsi="Consolas"/>
          <w:b w:val="0"/>
          <w:i w:val="0"/>
          <w:sz w:val="18"/>
        </w:rPr>
        <w:t>AND ( LIMIT-TO ( SUBJAREA , "MEDI" ) OR LIMIT-TO ( SUBJAREA , "IMMU" ) OR LIMIT-TO ( SUBJAREA , "PHAR" ) )</w:t>
      </w:r>
    </w:p>
    <w:p>
      <w:pPr>
        <w:pStyle w:val="Heading3"/>
      </w:pPr>
      <w:r>
        <w:rPr>
          <w:rFonts w:ascii="Times New Roman" w:hAnsi="Times New Roman"/>
          <w:b w:val="0"/>
          <w:i w:val="0"/>
          <w:sz w:val="22"/>
        </w:rPr>
        <w:t>Cochrane CENTRAL (Wiley)</w:t>
      </w:r>
    </w:p>
    <w:p>
      <w:pPr>
        <w:spacing w:after="0"/>
      </w:pPr>
      <w:r>
        <w:rPr>
          <w:rFonts w:ascii="Consolas" w:hAnsi="Consolas"/>
          <w:b w:val="0"/>
          <w:i w:val="0"/>
          <w:sz w:val="18"/>
        </w:rPr>
        <w:t>#1 MeSH descriptor: [Pseudomonas aeruginosa] explode all trees</w:t>
      </w:r>
    </w:p>
    <w:p>
      <w:pPr>
        <w:spacing w:after="0"/>
      </w:pPr>
      <w:r>
        <w:rPr>
          <w:rFonts w:ascii="Consolas" w:hAnsi="Consolas"/>
          <w:b w:val="0"/>
          <w:i w:val="0"/>
          <w:sz w:val="18"/>
        </w:rPr>
        <w:t>#2 MeSH descriptor: [Pseudomonas Infections] explode all trees</w:t>
      </w:r>
    </w:p>
    <w:p>
      <w:pPr>
        <w:spacing w:after="0"/>
      </w:pPr>
      <w:r>
        <w:rPr>
          <w:rFonts w:ascii="Consolas" w:hAnsi="Consolas"/>
          <w:b w:val="0"/>
          <w:i w:val="0"/>
          <w:sz w:val="18"/>
        </w:rPr>
        <w:t>#3 ("Pseudomonas aeruginosa" OR "P aeruginosa" OR pseudomonal):ti,ab,kw</w:t>
      </w:r>
    </w:p>
    <w:p>
      <w:pPr>
        <w:spacing w:after="0"/>
      </w:pPr>
      <w:r>
        <w:rPr>
          <w:rFonts w:ascii="Consolas" w:hAnsi="Consolas"/>
          <w:b w:val="0"/>
          <w:i w:val="0"/>
          <w:sz w:val="18"/>
        </w:rPr>
        <w:t>#4 #1 OR #2 OR #3</w:t>
      </w:r>
    </w:p>
    <w:p>
      <w:pPr>
        <w:spacing w:after="0"/>
      </w:pPr>
      <w:r>
        <w:rPr>
          <w:rFonts w:ascii="Consolas" w:hAnsi="Consolas"/>
          <w:b w:val="0"/>
          <w:i w:val="0"/>
          <w:sz w:val="18"/>
        </w:rPr>
        <w:t>#5 MeSH descriptor: [Bacteriophages] explode all trees</w:t>
      </w:r>
    </w:p>
    <w:p>
      <w:pPr>
        <w:spacing w:after="0"/>
      </w:pPr>
      <w:r>
        <w:rPr>
          <w:rFonts w:ascii="Consolas" w:hAnsi="Consolas"/>
          <w:b w:val="0"/>
          <w:i w:val="0"/>
          <w:sz w:val="18"/>
        </w:rPr>
        <w:t>#6 ("phage" OR "phages" OR bacteriophage</w:t>
      </w:r>
      <w:r>
        <w:rPr>
          <w:rFonts w:ascii="Consolas" w:hAnsi="Consolas"/>
          <w:b w:val="0"/>
          <w:i/>
          <w:sz w:val="18"/>
        </w:rPr>
        <w:t xml:space="preserve"> OR phagotherap</w:t>
      </w:r>
      <w:r>
        <w:rPr>
          <w:rFonts w:ascii="Consolas" w:hAnsi="Consolas"/>
          <w:b w:val="0"/>
          <w:i w:val="0"/>
          <w:sz w:val="18"/>
        </w:rPr>
        <w:t xml:space="preserve"> OR "phage therapy" OR "phage cocktail"</w:t>
      </w:r>
    </w:p>
    <w:p>
      <w:pPr>
        <w:spacing w:after="0"/>
      </w:pPr>
      <w:r>
        <w:rPr>
          <w:rFonts w:ascii="Consolas" w:hAnsi="Consolas"/>
          <w:b w:val="0"/>
          <w:i w:val="0"/>
          <w:sz w:val="18"/>
        </w:rPr>
        <w:t xml:space="preserve">    OR Pyophage OR Intestiphage):ti,ab,kw</w:t>
      </w:r>
    </w:p>
    <w:p>
      <w:pPr>
        <w:spacing w:after="0"/>
      </w:pPr>
      <w:r>
        <w:rPr>
          <w:rFonts w:ascii="Consolas" w:hAnsi="Consolas"/>
          <w:b w:val="0"/>
          <w:i w:val="0"/>
          <w:sz w:val="18"/>
        </w:rPr>
        <w:t>#7 #5 OR #6</w:t>
      </w:r>
    </w:p>
    <w:p>
      <w:pPr>
        <w:spacing w:after="0"/>
      </w:pPr>
      <w:r>
        <w:rPr>
          <w:rFonts w:ascii="Consolas" w:hAnsi="Consolas"/>
          <w:b w:val="0"/>
          <w:i w:val="0"/>
          <w:sz w:val="18"/>
        </w:rPr>
        <w:t>#8 #4 AND #7     (brazo A)</w:t>
      </w:r>
    </w:p>
    <w:p>
      <w:pPr>
        <w:spacing w:after="0"/>
      </w:pPr>
      <w:r>
        <w:rPr>
          <w:rFonts w:ascii="Consolas" w:hAnsi="Consolas"/>
          <w:b w:val="0"/>
          <w:i w:val="0"/>
          <w:sz w:val="18"/>
        </w:rPr>
        <w:t>#9 #7            (brazo B)</w:t>
      </w:r>
    </w:p>
    <w:p>
      <w:pPr>
        <w:jc w:val="both"/>
      </w:pPr>
      <w:r>
        <w:rPr>
          <w:rFonts w:ascii="Times New Roman" w:hAnsi="Times New Roman"/>
          <w:b/>
          <w:i w:val="0"/>
          <w:sz w:val="22"/>
        </w:rPr>
        <w:t>Límites.</w:t>
      </w:r>
      <w:r>
        <w:rPr>
          <w:rFonts w:ascii="Times New Roman" w:hAnsi="Times New Roman"/>
          <w:b w:val="0"/>
          <w:i w:val="0"/>
          <w:sz w:val="22"/>
        </w:rPr>
        <w:t xml:space="preserve"> </w:t>
      </w:r>
      <w:r>
        <w:rPr>
          <w:rFonts w:ascii="Times New Roman" w:hAnsi="Times New Roman"/>
          <w:b w:val="0"/>
          <w:i/>
          <w:sz w:val="22"/>
        </w:rPr>
        <w:t>CENTRAL Trials</w:t>
      </w:r>
      <w:r>
        <w:rPr>
          <w:rFonts w:ascii="Times New Roman" w:hAnsi="Times New Roman"/>
          <w:b w:val="0"/>
          <w:i w:val="0"/>
          <w:sz w:val="22"/>
        </w:rPr>
        <w:t xml:space="preserve">, año de publicación original de 2016 a 2026, con </w:t>
      </w:r>
      <w:r>
        <w:rPr>
          <w:rFonts w:ascii="Times New Roman" w:hAnsi="Times New Roman"/>
          <w:b w:val="0"/>
          <w:i/>
          <w:sz w:val="22"/>
        </w:rPr>
        <w:t>Search word variations</w:t>
      </w:r>
      <w:r>
        <w:rPr>
          <w:rFonts w:ascii="Times New Roman" w:hAnsi="Times New Roman"/>
          <w:b w:val="0"/>
          <w:i w:val="0"/>
          <w:sz w:val="22"/>
        </w:rPr>
        <w:t xml:space="preserve"> activada. Se registra el número (</w:t>
      </w:r>
      <w:r>
        <w:rPr>
          <w:rFonts w:ascii="Times New Roman" w:hAnsi="Times New Roman"/>
          <w:b w:val="0"/>
          <w:i/>
          <w:sz w:val="22"/>
        </w:rPr>
        <w:t>Issue</w:t>
      </w:r>
      <w:r>
        <w:rPr>
          <w:rFonts w:ascii="Times New Roman" w:hAnsi="Times New Roman"/>
          <w:b w:val="0"/>
          <w:i w:val="0"/>
          <w:sz w:val="22"/>
        </w:rPr>
        <w:t>) de CENTRAL consultado, por ejemplo «Issue 7 of 12, July 2026».</w:t>
      </w:r>
    </w:p>
    <w:p>
      <w:pPr>
        <w:jc w:val="both"/>
      </w:pPr>
      <w:r>
        <w:rPr>
          <w:rFonts w:ascii="Times New Roman" w:hAnsi="Times New Roman"/>
          <w:b/>
          <w:i w:val="0"/>
          <w:sz w:val="22"/>
        </w:rPr>
        <w:t>Lectura del fichero.</w:t>
      </w:r>
      <w:r>
        <w:rPr>
          <w:rFonts w:ascii="Times New Roman" w:hAnsi="Times New Roman"/>
          <w:b w:val="0"/>
          <w:i w:val="0"/>
          <w:sz w:val="22"/>
        </w:rPr>
        <w:t xml:space="preserve"> Se lee como latin-1, y el identificador propio de cada registro está en el campo </w:t>
      </w:r>
      <w:r>
        <w:rPr>
          <w:rFonts w:ascii="Consolas" w:hAnsi="Consolas"/>
          <w:b w:val="0"/>
          <w:i w:val="0"/>
          <w:sz w:val="22"/>
        </w:rPr>
        <w:t>C3</w:t>
      </w:r>
      <w:r>
        <w:rPr>
          <w:rFonts w:ascii="Times New Roman" w:hAnsi="Times New Roman"/>
          <w:b w:val="0"/>
          <w:i w:val="0"/>
          <w:sz w:val="22"/>
        </w:rPr>
        <w:t>.</w:t>
      </w:r>
    </w:p>
    <w:p>
      <w:pPr>
        <w:pStyle w:val="Heading3"/>
      </w:pPr>
      <w:r>
        <w:rPr>
          <w:rFonts w:ascii="Times New Roman" w:hAnsi="Times New Roman"/>
          <w:b w:val="0"/>
          <w:i w:val="0"/>
          <w:sz w:val="22"/>
        </w:rPr>
        <w:t>BVS</w:t>
      </w:r>
    </w:p>
    <w:p>
      <w:pPr>
        <w:spacing w:after="0"/>
      </w:pPr>
      <w:r>
        <w:rPr>
          <w:rFonts w:ascii="Consolas" w:hAnsi="Consolas"/>
          <w:b w:val="0"/>
          <w:i w:val="0"/>
          <w:sz w:val="18"/>
        </w:rPr>
        <w:t>(fago OR fagos OR bacteriofago OR bacteriófago OR bacteriofagos OR fagoterapia OR phage OR phages</w:t>
      </w:r>
    </w:p>
    <w:p>
      <w:pPr>
        <w:spacing w:after="0"/>
      </w:pPr>
      <w:r>
        <w:rPr>
          <w:rFonts w:ascii="Consolas" w:hAnsi="Consolas"/>
          <w:b w:val="0"/>
          <w:i w:val="0"/>
          <w:sz w:val="18"/>
        </w:rPr>
        <w:t xml:space="preserve"> OR bacteriophage OR bacteriophages OR "phage therapy" OR "terapia con fagos" OR "terapia fágica")</w:t>
      </w:r>
    </w:p>
    <w:p>
      <w:pPr>
        <w:spacing w:after="0"/>
      </w:pPr>
      <w:r>
        <w:rPr>
          <w:rFonts w:ascii="Consolas" w:hAnsi="Consolas"/>
          <w:b w:val="0"/>
          <w:i w:val="0"/>
          <w:sz w:val="18"/>
        </w:rPr>
        <w:t>AND NOT db:("MEDLINE")</w:t>
      </w:r>
    </w:p>
    <w:p>
      <w:pPr>
        <w:jc w:val="both"/>
      </w:pPr>
      <w:r>
        <w:rPr>
          <w:rFonts w:ascii="Times New Roman" w:hAnsi="Times New Roman"/>
          <w:b w:val="0"/>
          <w:i w:val="0"/>
          <w:sz w:val="22"/>
        </w:rPr>
        <w:t xml:space="preserve">Los PMID llegan con el prefijo </w:t>
      </w:r>
      <w:r>
        <w:rPr>
          <w:rFonts w:ascii="Consolas" w:hAnsi="Consolas"/>
          <w:b w:val="0"/>
          <w:i w:val="0"/>
          <w:sz w:val="22"/>
        </w:rPr>
        <w:t>mdl-</w:t>
      </w:r>
      <w:r>
        <w:rPr>
          <w:rFonts w:ascii="Times New Roman" w:hAnsi="Times New Roman"/>
          <w:b w:val="0"/>
          <w:i w:val="0"/>
          <w:sz w:val="22"/>
        </w:rPr>
        <w:t>, que se traduce antes de deduplicar.</w:t>
      </w:r>
    </w:p>
    <w:p>
      <w:pPr>
        <w:pStyle w:val="Heading3"/>
      </w:pPr>
      <w:r>
        <w:rPr>
          <w:rFonts w:ascii="Times New Roman" w:hAnsi="Times New Roman"/>
          <w:b w:val="0"/>
          <w:i w:val="0"/>
          <w:sz w:val="22"/>
        </w:rPr>
        <w:t>SciELO</w:t>
      </w:r>
    </w:p>
    <w:p>
      <w:pPr>
        <w:spacing w:after="0"/>
      </w:pPr>
      <w:r>
        <w:rPr>
          <w:rFonts w:ascii="Consolas" w:hAnsi="Consolas"/>
          <w:b w:val="0"/>
          <w:i w:val="0"/>
          <w:sz w:val="18"/>
        </w:rPr>
        <w:t>fago OR fagos OR bacteriofago OR bacteriófago OR bacteriófagos OR fagoterapia OR phage OR phages</w:t>
      </w:r>
    </w:p>
    <w:p>
      <w:pPr>
        <w:spacing w:after="0"/>
      </w:pPr>
      <w:r>
        <w:rPr>
          <w:rFonts w:ascii="Consolas" w:hAnsi="Consolas"/>
          <w:b w:val="0"/>
          <w:i w:val="0"/>
          <w:sz w:val="18"/>
        </w:rPr>
        <w:t>OR bacteriophage OR bacteriophages OR "phage therapy" OR "terapia fágica"</w:t>
      </w:r>
    </w:p>
    <w:p>
      <w:pPr>
        <w:pStyle w:val="Heading3"/>
      </w:pPr>
      <w:r>
        <w:rPr>
          <w:rFonts w:ascii="Times New Roman" w:hAnsi="Times New Roman"/>
          <w:b w:val="0"/>
          <w:i w:val="0"/>
          <w:sz w:val="22"/>
        </w:rPr>
        <w:t>ClinicalTrials.gov (API v2)</w:t>
      </w:r>
    </w:p>
    <w:p>
      <w:pPr>
        <w:spacing w:after="0"/>
      </w:pPr>
      <w:r>
        <w:rPr>
          <w:rFonts w:ascii="Consolas" w:hAnsi="Consolas"/>
          <w:b w:val="0"/>
          <w:i w:val="0"/>
          <w:sz w:val="18"/>
        </w:rPr>
        <w:t>Brazo A: query.cond = "Pseudomonas aeruginosa"; query.intr = "bacteriophage OR phage"</w:t>
      </w:r>
    </w:p>
    <w:p>
      <w:pPr>
        <w:spacing w:after="0"/>
      </w:pPr>
      <w:r>
        <w:rPr>
          <w:rFonts w:ascii="Consolas" w:hAnsi="Consolas"/>
          <w:b w:val="0"/>
          <w:i w:val="0"/>
          <w:sz w:val="18"/>
        </w:rPr>
        <w:t>Brazo B: query.intr = "bacteriophage OR phage"</w:t>
      </w:r>
    </w:p>
    <w:p>
      <w:pPr>
        <w:pStyle w:val="Heading3"/>
      </w:pPr>
      <w:r>
        <w:rPr>
          <w:rFonts w:ascii="Times New Roman" w:hAnsi="Times New Roman"/>
          <w:b w:val="0"/>
          <w:i w:val="0"/>
          <w:sz w:val="22"/>
        </w:rPr>
        <w:t>EudraCT</w:t>
      </w:r>
    </w:p>
    <w:p>
      <w:pPr>
        <w:spacing w:after="0"/>
      </w:pPr>
      <w:r>
        <w:rPr>
          <w:rFonts w:ascii="Consolas" w:hAnsi="Consolas"/>
          <w:b w:val="0"/>
          <w:i w:val="0"/>
          <w:sz w:val="18"/>
        </w:rPr>
        <w:t>bacteriophage OR phage OR phagotherapy</w:t>
      </w:r>
    </w:p>
    <w:p>
      <w:pPr>
        <w:pStyle w:val="Heading3"/>
      </w:pPr>
      <w:r>
        <w:rPr>
          <w:rFonts w:ascii="Times New Roman" w:hAnsi="Times New Roman"/>
          <w:b w:val="0"/>
          <w:i w:val="0"/>
          <w:sz w:val="22"/>
        </w:rPr>
        <w:t>CTIS</w:t>
      </w:r>
    </w:p>
    <w:p>
      <w:pPr>
        <w:jc w:val="both"/>
      </w:pPr>
      <w:r>
        <w:rPr>
          <w:rFonts w:ascii="Times New Roman" w:hAnsi="Times New Roman"/>
          <w:b w:val="0"/>
          <w:i w:val="0"/>
          <w:sz w:val="22"/>
        </w:rPr>
        <w:t xml:space="preserve">Un término por búsqueda, con unión manual: </w:t>
      </w:r>
      <w:r>
        <w:rPr>
          <w:rFonts w:ascii="Times New Roman" w:hAnsi="Times New Roman"/>
          <w:b w:val="0"/>
          <w:i/>
          <w:sz w:val="22"/>
        </w:rPr>
        <w:t>bacteriophage</w:t>
      </w:r>
      <w:r>
        <w:rPr>
          <w:rFonts w:ascii="Times New Roman" w:hAnsi="Times New Roman"/>
          <w:b w:val="0"/>
          <w:i w:val="0"/>
          <w:sz w:val="22"/>
        </w:rPr>
        <w:t xml:space="preserve">, </w:t>
      </w:r>
      <w:r>
        <w:rPr>
          <w:rFonts w:ascii="Times New Roman" w:hAnsi="Times New Roman"/>
          <w:b w:val="0"/>
          <w:i/>
          <w:sz w:val="22"/>
        </w:rPr>
        <w:t>bacteriophages</w:t>
      </w:r>
      <w:r>
        <w:rPr>
          <w:rFonts w:ascii="Times New Roman" w:hAnsi="Times New Roman"/>
          <w:b w:val="0"/>
          <w:i w:val="0"/>
          <w:sz w:val="22"/>
        </w:rPr>
        <w:t xml:space="preserve">, </w:t>
      </w:r>
      <w:r>
        <w:rPr>
          <w:rFonts w:ascii="Times New Roman" w:hAnsi="Times New Roman"/>
          <w:b w:val="0"/>
          <w:i/>
          <w:sz w:val="22"/>
        </w:rPr>
        <w:t>phage</w:t>
      </w:r>
      <w:r>
        <w:rPr>
          <w:rFonts w:ascii="Times New Roman" w:hAnsi="Times New Roman"/>
          <w:b w:val="0"/>
          <w:i w:val="0"/>
          <w:sz w:val="22"/>
        </w:rPr>
        <w:t xml:space="preserve">, </w:t>
      </w:r>
      <w:r>
        <w:rPr>
          <w:rFonts w:ascii="Times New Roman" w:hAnsi="Times New Roman"/>
          <w:b w:val="0"/>
          <w:i/>
          <w:sz w:val="22"/>
        </w:rPr>
        <w:t>phages</w:t>
      </w:r>
      <w:r>
        <w:rPr>
          <w:rFonts w:ascii="Times New Roman" w:hAnsi="Times New Roman"/>
          <w:b w:val="0"/>
          <w:i w:val="0"/>
          <w:sz w:val="22"/>
        </w:rPr>
        <w:t xml:space="preserve">, </w:t>
      </w:r>
      <w:r>
        <w:rPr>
          <w:rFonts w:ascii="Times New Roman" w:hAnsi="Times New Roman"/>
          <w:b w:val="0"/>
          <w:i/>
          <w:sz w:val="22"/>
        </w:rPr>
        <w:t>phagotherapy</w:t>
      </w:r>
      <w:r>
        <w:rPr>
          <w:rFonts w:ascii="Times New Roman" w:hAnsi="Times New Roman"/>
          <w:b w:val="0"/>
          <w:i w:val="0"/>
          <w:sz w:val="22"/>
        </w:rPr>
        <w:t xml:space="preserve">, </w:t>
      </w:r>
      <w:r>
        <w:rPr>
          <w:rFonts w:ascii="Times New Roman" w:hAnsi="Times New Roman"/>
          <w:b w:val="0"/>
          <w:i/>
          <w:sz w:val="22"/>
        </w:rPr>
        <w:t>pyophage</w:t>
      </w:r>
      <w:r>
        <w:rPr>
          <w:rFonts w:ascii="Times New Roman" w:hAnsi="Times New Roman"/>
          <w:b w:val="0"/>
          <w:i w:val="0"/>
          <w:sz w:val="22"/>
        </w:rPr>
        <w:t xml:space="preserve">. Término de control: </w:t>
      </w:r>
      <w:r>
        <w:rPr>
          <w:rFonts w:ascii="Times New Roman" w:hAnsi="Times New Roman"/>
          <w:b w:val="0"/>
          <w:i/>
          <w:sz w:val="22"/>
        </w:rPr>
        <w:t>cancer</w:t>
      </w:r>
      <w:r>
        <w:rPr>
          <w:rFonts w:ascii="Times New Roman" w:hAnsi="Times New Roman"/>
          <w:b w:val="0"/>
          <w:i w:val="0"/>
          <w:sz w:val="22"/>
        </w:rPr>
        <w:t>.</w:t>
      </w:r>
    </w:p>
    <w:p>
      <w:pPr>
        <w:pStyle w:val="Heading2"/>
      </w:pPr>
      <w:r>
        <w:rPr>
          <w:rFonts w:ascii="Times New Roman" w:hAnsi="Times New Roman"/>
          <w:b w:val="0"/>
          <w:i w:val="0"/>
          <w:sz w:val="26"/>
        </w:rPr>
        <w:t>Anexo B. Diccionario de variables y reglas de extracción</w:t>
      </w:r>
    </w:p>
    <w:p>
      <w:pPr>
        <w:jc w:val="both"/>
      </w:pPr>
      <w:r>
        <w:rPr>
          <w:rFonts w:ascii="Times New Roman" w:hAnsi="Times New Roman"/>
          <w:b w:val="0"/>
          <w:i w:val="0"/>
          <w:sz w:val="22"/>
        </w:rPr>
        <w:t>Una fila por brazo. Los valores entre corchetes son los únicos admitidos. Las reglas de este anexo las redactó el modelo a partir de las del piloto y de las decisiones firmadas en él (sección 3.3); los autores las aprueban expresamente antes del depósito.</w:t>
      </w:r>
    </w:p>
    <w:p>
      <w:pPr>
        <w:jc w:val="both"/>
      </w:pPr>
      <w:r>
        <w:rPr>
          <w:rFonts w:ascii="Times New Roman" w:hAnsi="Times New Roman"/>
          <w:b/>
          <w:i w:val="0"/>
          <w:sz w:val="22"/>
        </w:rPr>
        <w:t>Identificación</w:t>
      </w:r>
    </w:p>
    <w:p>
      <w:pPr>
        <w:pStyle w:val="ListBullet"/>
      </w:pPr>
      <w:r>
        <w:rPr>
          <w:rFonts w:ascii="Times New Roman" w:hAnsi="Times New Roman"/>
          <w:b/>
          <w:i w:val="0"/>
          <w:sz w:val="22"/>
        </w:rPr>
        <w:t>study_id:</w:t>
      </w:r>
      <w:r>
        <w:rPr>
          <w:rFonts w:ascii="Times New Roman" w:hAnsi="Times New Roman"/>
          <w:b w:val="0"/>
          <w:i w:val="0"/>
          <w:sz w:val="22"/>
        </w:rPr>
        <w:t xml:space="preserve"> DEF-NNN.</w:t>
      </w:r>
    </w:p>
    <w:p>
      <w:pPr>
        <w:pStyle w:val="ListBullet"/>
      </w:pPr>
      <w:r>
        <w:rPr>
          <w:rFonts w:ascii="Times New Roman" w:hAnsi="Times New Roman"/>
          <w:b/>
          <w:i w:val="0"/>
          <w:sz w:val="22"/>
        </w:rPr>
        <w:t>arm_id:</w:t>
      </w:r>
      <w:r>
        <w:rPr>
          <w:rFonts w:ascii="Times New Roman" w:hAnsi="Times New Roman"/>
          <w:b w:val="0"/>
          <w:i w:val="0"/>
          <w:sz w:val="22"/>
        </w:rPr>
        <w:t xml:space="preserve"> A, B, C… según la definición de brazo de la sección 14.2.</w:t>
      </w:r>
    </w:p>
    <w:p>
      <w:pPr>
        <w:pStyle w:val="ListBullet"/>
      </w:pPr>
      <w:r>
        <w:rPr>
          <w:rFonts w:ascii="Times New Roman" w:hAnsi="Times New Roman"/>
          <w:b/>
          <w:i w:val="0"/>
          <w:sz w:val="22"/>
        </w:rPr>
        <w:t>fila_control:</w:t>
      </w:r>
      <w:r>
        <w:rPr>
          <w:rFonts w:ascii="Times New Roman" w:hAnsi="Times New Roman"/>
          <w:b w:val="0"/>
          <w:i w:val="0"/>
          <w:sz w:val="22"/>
        </w:rPr>
        <w:t xml:space="preserve"> [sí, no]. Las filas de control no son brazos y no entran en la viabilidad.</w:t>
      </w:r>
    </w:p>
    <w:p>
      <w:pPr>
        <w:pStyle w:val="ListBullet"/>
      </w:pPr>
      <w:r>
        <w:rPr>
          <w:rFonts w:ascii="Times New Roman" w:hAnsi="Times New Roman"/>
          <w:b/>
          <w:i w:val="0"/>
          <w:sz w:val="22"/>
        </w:rPr>
        <w:t>informe_de_extraccion:</w:t>
      </w:r>
      <w:r>
        <w:rPr>
          <w:rFonts w:ascii="Times New Roman" w:hAnsi="Times New Roman"/>
          <w:b w:val="0"/>
          <w:i w:val="0"/>
          <w:sz w:val="22"/>
        </w:rPr>
        <w:t xml:space="preserve"> identificador del informe del que se extrae (sección 14.1).</w:t>
      </w:r>
    </w:p>
    <w:p>
      <w:pPr>
        <w:jc w:val="both"/>
      </w:pPr>
      <w:r>
        <w:rPr>
          <w:rFonts w:ascii="Times New Roman" w:hAnsi="Times New Roman"/>
          <w:b/>
          <w:i w:val="0"/>
          <w:sz w:val="22"/>
        </w:rPr>
        <w:t>Diseño y población</w:t>
      </w:r>
    </w:p>
    <w:p>
      <w:pPr>
        <w:pStyle w:val="ListBullet"/>
      </w:pPr>
      <w:r>
        <w:rPr>
          <w:rFonts w:ascii="Times New Roman" w:hAnsi="Times New Roman"/>
          <w:b/>
          <w:i w:val="0"/>
          <w:sz w:val="22"/>
        </w:rPr>
        <w:t>study_design:</w:t>
      </w:r>
      <w:r>
        <w:rPr>
          <w:rFonts w:ascii="Times New Roman" w:hAnsi="Times New Roman"/>
          <w:b w:val="0"/>
          <w:i w:val="0"/>
          <w:sz w:val="22"/>
        </w:rPr>
        <w:t xml:space="preserve"> lo que el artículo es, no lo que dice ser. Un «estudio» de un paciente es un reporte de caso. [ensayo aleatorizado, ensayo no aleatorizado, cohorte prospectiva, cohorte retrospectiva, serie de casos, reporte de caso, otro]</w:t>
      </w:r>
    </w:p>
    <w:p>
      <w:pPr>
        <w:pStyle w:val="ListBullet"/>
      </w:pPr>
      <w:r>
        <w:rPr>
          <w:rFonts w:ascii="Times New Roman" w:hAnsi="Times New Roman"/>
          <w:b/>
          <w:i w:val="0"/>
          <w:sz w:val="22"/>
        </w:rPr>
        <w:t>n_arm:</w:t>
      </w:r>
      <w:r>
        <w:rPr>
          <w:rFonts w:ascii="Times New Roman" w:hAnsi="Times New Roman"/>
          <w:b w:val="0"/>
          <w:i w:val="0"/>
          <w:sz w:val="22"/>
        </w:rPr>
        <w:t xml:space="preserve"> pacientes de este brazo.</w:t>
      </w:r>
    </w:p>
    <w:p>
      <w:pPr>
        <w:pStyle w:val="ListBullet"/>
      </w:pPr>
      <w:r>
        <w:rPr>
          <w:rFonts w:ascii="Times New Roman" w:hAnsi="Times New Roman"/>
          <w:b/>
          <w:i w:val="0"/>
          <w:sz w:val="22"/>
        </w:rPr>
        <w:t>pathogen_scope:</w:t>
      </w:r>
      <w:r>
        <w:rPr>
          <w:rFonts w:ascii="Times New Roman" w:hAnsi="Times New Roman"/>
          <w:b w:val="0"/>
          <w:i w:val="0"/>
          <w:sz w:val="22"/>
        </w:rPr>
        <w:t xml:space="preserve"> [solo </w:t>
      </w:r>
      <w:r>
        <w:rPr>
          <w:rFonts w:ascii="Times New Roman" w:hAnsi="Times New Roman"/>
          <w:b w:val="0"/>
          <w:i/>
          <w:sz w:val="22"/>
        </w:rPr>
        <w:t>P. aeruginosa</w:t>
      </w:r>
      <w:r>
        <w:rPr>
          <w:rFonts w:ascii="Times New Roman" w:hAnsi="Times New Roman"/>
          <w:b w:val="0"/>
          <w:i w:val="0"/>
          <w:sz w:val="22"/>
        </w:rPr>
        <w:t>, mixto con subgrupo separable, mixto sin desenlace separable]</w:t>
      </w:r>
    </w:p>
    <w:p>
      <w:pPr>
        <w:pStyle w:val="ListBullet"/>
      </w:pPr>
      <w:r>
        <w:rPr>
          <w:rFonts w:ascii="Times New Roman" w:hAnsi="Times New Roman"/>
          <w:b/>
          <w:i w:val="0"/>
          <w:sz w:val="22"/>
        </w:rPr>
        <w:t>atribuible:</w:t>
      </w:r>
      <w:r>
        <w:rPr>
          <w:rFonts w:ascii="Times New Roman" w:hAnsi="Times New Roman"/>
          <w:b w:val="0"/>
          <w:i w:val="0"/>
          <w:sz w:val="22"/>
        </w:rPr>
        <w:t xml:space="preserve"> si el desenlace extraído corresponde a pacientes con </w:t>
      </w:r>
      <w:r>
        <w:rPr>
          <w:rFonts w:ascii="Times New Roman" w:hAnsi="Times New Roman"/>
          <w:b w:val="0"/>
          <w:i/>
          <w:sz w:val="22"/>
        </w:rPr>
        <w:t>P. aeruginosa</w:t>
      </w:r>
      <w:r>
        <w:rPr>
          <w:rFonts w:ascii="Times New Roman" w:hAnsi="Times New Roman"/>
          <w:b w:val="0"/>
          <w:i w:val="0"/>
          <w:sz w:val="22"/>
        </w:rPr>
        <w:t>. [sí, no, no se sabe]</w:t>
      </w:r>
    </w:p>
    <w:p>
      <w:pPr>
        <w:pStyle w:val="ListBullet"/>
      </w:pPr>
      <w:r>
        <w:rPr>
          <w:rFonts w:ascii="Times New Roman" w:hAnsi="Times New Roman"/>
          <w:b/>
          <w:i w:val="0"/>
          <w:sz w:val="22"/>
        </w:rPr>
        <w:t>finalidad:</w:t>
      </w:r>
      <w:r>
        <w:rPr>
          <w:rFonts w:ascii="Times New Roman" w:hAnsi="Times New Roman"/>
          <w:b w:val="0"/>
          <w:i w:val="0"/>
          <w:sz w:val="22"/>
        </w:rPr>
        <w:t xml:space="preserve"> [infección, colonización crónica, profilaxis]</w:t>
      </w:r>
    </w:p>
    <w:p>
      <w:pPr>
        <w:jc w:val="both"/>
      </w:pPr>
      <w:r>
        <w:rPr>
          <w:rFonts w:ascii="Times New Roman" w:hAnsi="Times New Roman"/>
          <w:b/>
          <w:i w:val="0"/>
          <w:sz w:val="22"/>
        </w:rPr>
        <w:t>Clase de resistencia</w:t>
      </w:r>
    </w:p>
    <w:p>
      <w:pPr>
        <w:pStyle w:val="ListBullet"/>
      </w:pPr>
      <w:r>
        <w:rPr>
          <w:rFonts w:ascii="Times New Roman" w:hAnsi="Times New Roman"/>
          <w:b/>
          <w:i w:val="0"/>
          <w:sz w:val="22"/>
        </w:rPr>
        <w:t>resistance_class_declarada:</w:t>
      </w:r>
      <w:r>
        <w:rPr>
          <w:rFonts w:ascii="Times New Roman" w:hAnsi="Times New Roman"/>
          <w:b w:val="0"/>
          <w:i w:val="0"/>
          <w:sz w:val="22"/>
        </w:rPr>
        <w:t xml:space="preserve"> lo que dice el artículo, con las definiciones de la sección 16.1. [MDR, XDR, PDR, mencionada pero no clasificable, no mencionada]</w:t>
      </w:r>
    </w:p>
    <w:p>
      <w:pPr>
        <w:pStyle w:val="ListBullet"/>
      </w:pPr>
      <w:r>
        <w:rPr>
          <w:rFonts w:ascii="Times New Roman" w:hAnsi="Times New Roman"/>
          <w:b/>
          <w:i w:val="0"/>
          <w:sz w:val="22"/>
        </w:rPr>
        <w:t>resistance_class:</w:t>
      </w:r>
      <w:r>
        <w:rPr>
          <w:rFonts w:ascii="Times New Roman" w:hAnsi="Times New Roman"/>
          <w:b w:val="0"/>
          <w:i w:val="0"/>
          <w:sz w:val="22"/>
        </w:rPr>
        <w:t xml:space="preserve"> la clase asignada según Magiorakos et al. [MDR, XDR, PDR, por debajo del umbral MDR, no clasificable, mixto]</w:t>
      </w:r>
    </w:p>
    <w:p>
      <w:pPr>
        <w:pStyle w:val="ListBullet"/>
      </w:pPr>
      <w:r>
        <w:rPr>
          <w:rFonts w:ascii="Times New Roman" w:hAnsi="Times New Roman"/>
          <w:b/>
          <w:i w:val="0"/>
          <w:sz w:val="22"/>
        </w:rPr>
        <w:t>resistance_class_source:</w:t>
      </w:r>
      <w:r>
        <w:rPr>
          <w:rFonts w:ascii="Times New Roman" w:hAnsi="Times New Roman"/>
          <w:b w:val="0"/>
          <w:i w:val="0"/>
          <w:sz w:val="22"/>
        </w:rPr>
        <w:t xml:space="preserve"> [declarada por el autor, verificada con el antibiograma, verificada con el texto, no clasificable]</w:t>
      </w:r>
    </w:p>
    <w:p>
      <w:pPr>
        <w:pStyle w:val="ListBullet"/>
      </w:pPr>
      <w:r>
        <w:rPr>
          <w:rFonts w:ascii="Times New Roman" w:hAnsi="Times New Roman"/>
          <w:b/>
          <w:i w:val="0"/>
          <w:sz w:val="22"/>
        </w:rPr>
        <w:t>Reglas de asignación de la clase y del DTR:</w:t>
      </w:r>
    </w:p>
    <w:p>
      <w:pPr>
        <w:pStyle w:val="ListBullet2"/>
      </w:pPr>
      <w:r>
        <w:rPr>
          <w:rFonts w:ascii="Times New Roman" w:hAnsi="Times New Roman"/>
          <w:b w:val="0"/>
          <w:i w:val="0"/>
          <w:sz w:val="22"/>
        </w:rPr>
        <w:t>se asignan con el último aislado del sitio tratado anterior al primer fago;</w:t>
      </w:r>
    </w:p>
    <w:p>
      <w:pPr>
        <w:pStyle w:val="ListBullet2"/>
      </w:pPr>
      <w:r>
        <w:rPr>
          <w:rFonts w:ascii="Times New Roman" w:hAnsi="Times New Roman"/>
          <w:b w:val="0"/>
          <w:i w:val="0"/>
          <w:sz w:val="22"/>
        </w:rPr>
        <w:t>la «I» cuenta como no sensible, como en Magiorakos, aunque el artículo use EUCAST 2019 o posterior;</w:t>
      </w:r>
    </w:p>
    <w:p>
      <w:pPr>
        <w:pStyle w:val="ListBullet2"/>
      </w:pPr>
      <w:r>
        <w:rPr>
          <w:rFonts w:ascii="Times New Roman" w:hAnsi="Times New Roman"/>
          <w:b w:val="0"/>
          <w:i w:val="0"/>
          <w:sz w:val="22"/>
        </w:rPr>
        <w:t>una categoría no probada no cuenta como no sensible; si eso impide decidir entre dos clases, se codifica la inferior y se anota «superior no derivable»;</w:t>
      </w:r>
    </w:p>
    <w:p>
      <w:pPr>
        <w:pStyle w:val="ListBullet2"/>
      </w:pPr>
      <w:r>
        <w:rPr>
          <w:rFonts w:ascii="Times New Roman" w:hAnsi="Times New Roman"/>
          <w:b w:val="0"/>
          <w:i w:val="0"/>
          <w:sz w:val="22"/>
        </w:rPr>
        <w:t>los agentes que no figuran en Magiorakos y la resistencia intrínseca no cuentan para la clase;</w:t>
      </w:r>
    </w:p>
    <w:p>
      <w:pPr>
        <w:pStyle w:val="ListBullet2"/>
      </w:pPr>
      <w:r>
        <w:rPr>
          <w:rFonts w:ascii="Times New Roman" w:hAnsi="Times New Roman"/>
          <w:b w:val="0"/>
          <w:i w:val="0"/>
          <w:sz w:val="22"/>
        </w:rPr>
        <w:t>un brazo con pacientes de clase distinta es «mixto».</w:t>
      </w:r>
    </w:p>
    <w:p>
      <w:pPr>
        <w:pStyle w:val="ListBullet"/>
      </w:pPr>
      <w:r>
        <w:rPr>
          <w:rFonts w:ascii="Times New Roman" w:hAnsi="Times New Roman"/>
          <w:b/>
          <w:i w:val="0"/>
          <w:sz w:val="22"/>
        </w:rPr>
        <w:t>dtr_status:</w:t>
      </w:r>
      <w:r>
        <w:rPr>
          <w:rFonts w:ascii="Times New Roman" w:hAnsi="Times New Roman"/>
          <w:b w:val="0"/>
          <w:i w:val="0"/>
          <w:sz w:val="22"/>
        </w:rPr>
        <w:t xml:space="preserve"> </w:t>
      </w:r>
      <w:r>
        <w:rPr>
          <w:rFonts w:ascii="Times New Roman" w:hAnsi="Times New Roman"/>
          <w:b w:val="0"/>
          <w:i/>
          <w:sz w:val="22"/>
        </w:rPr>
        <w:t>difficult-to-treat resistance</w:t>
      </w:r>
      <w:r>
        <w:rPr>
          <w:rFonts w:ascii="Times New Roman" w:hAnsi="Times New Roman"/>
          <w:b w:val="0"/>
          <w:i w:val="0"/>
          <w:sz w:val="22"/>
        </w:rPr>
        <w:t xml:space="preserve"> según Kadri et al. (</w:t>
      </w:r>
      <w:r>
        <w:rPr>
          <w:rFonts w:ascii="Times New Roman" w:hAnsi="Times New Roman"/>
          <w:b w:val="0"/>
          <w:i/>
          <w:sz w:val="22"/>
        </w:rPr>
        <w:t>Clin Infect Dis</w:t>
      </w:r>
      <w:r>
        <w:rPr>
          <w:rFonts w:ascii="Times New Roman" w:hAnsi="Times New Roman"/>
          <w:b w:val="0"/>
          <w:i w:val="0"/>
          <w:sz w:val="22"/>
        </w:rPr>
        <w:t xml:space="preserve"> 2018;67:1803-14). [sí, no, no derivable, mixto]</w:t>
      </w:r>
    </w:p>
    <w:p>
      <w:pPr>
        <w:pStyle w:val="ListBullet2"/>
      </w:pPr>
      <w:r>
        <w:rPr>
          <w:rFonts w:ascii="Times New Roman" w:hAnsi="Times New Roman"/>
          <w:b/>
          <w:i w:val="0"/>
          <w:sz w:val="22"/>
        </w:rPr>
        <w:t>sí:</w:t>
      </w:r>
      <w:r>
        <w:rPr>
          <w:rFonts w:ascii="Times New Roman" w:hAnsi="Times New Roman"/>
          <w:b w:val="0"/>
          <w:i w:val="0"/>
          <w:sz w:val="22"/>
        </w:rPr>
        <w:t xml:space="preserve"> toda la primera línea (carbapenémicos, otros betalactámicos y fluoroquinolonas) es no sensible, incluido el aislado PDR;</w:t>
      </w:r>
    </w:p>
    <w:p>
      <w:pPr>
        <w:pStyle w:val="ListBullet2"/>
      </w:pPr>
      <w:r>
        <w:rPr>
          <w:rFonts w:ascii="Times New Roman" w:hAnsi="Times New Roman"/>
          <w:b/>
          <w:i w:val="0"/>
          <w:sz w:val="22"/>
        </w:rPr>
        <w:t>no:</w:t>
      </w:r>
      <w:r>
        <w:rPr>
          <w:rFonts w:ascii="Times New Roman" w:hAnsi="Times New Roman"/>
          <w:b w:val="0"/>
          <w:i w:val="0"/>
          <w:sz w:val="22"/>
        </w:rPr>
        <w:t xml:space="preserve"> basta un agente de primera línea sensible documentado;</w:t>
      </w:r>
    </w:p>
    <w:p>
      <w:pPr>
        <w:pStyle w:val="ListBullet2"/>
      </w:pPr>
      <w:r>
        <w:rPr>
          <w:rFonts w:ascii="Times New Roman" w:hAnsi="Times New Roman"/>
          <w:b/>
          <w:i w:val="0"/>
          <w:sz w:val="22"/>
        </w:rPr>
        <w:t>no derivable:</w:t>
      </w:r>
      <w:r>
        <w:rPr>
          <w:rFonts w:ascii="Times New Roman" w:hAnsi="Times New Roman"/>
          <w:b w:val="0"/>
          <w:i w:val="0"/>
          <w:sz w:val="22"/>
        </w:rPr>
        <w:t xml:space="preserve"> el resto.</w:t>
      </w:r>
    </w:p>
    <w:p>
      <w:pPr>
        <w:pStyle w:val="ListBullet2"/>
      </w:pPr>
      <w:r>
        <w:rPr>
          <w:rFonts w:ascii="Times New Roman" w:hAnsi="Times New Roman"/>
          <w:b/>
          <w:i w:val="0"/>
          <w:sz w:val="22"/>
        </w:rPr>
        <w:t>Agentes que no cuentan:</w:t>
      </w:r>
      <w:r>
        <w:rPr>
          <w:rFonts w:ascii="Times New Roman" w:hAnsi="Times New Roman"/>
          <w:b w:val="0"/>
          <w:i w:val="0"/>
          <w:sz w:val="22"/>
        </w:rPr>
        <w:t xml:space="preserve"> los de reserva (colistina, polimixina B, aminoglucósidos, tigeciclina) y los posteriores a 2018 (ceftazidima-avibactam, ceftolozano-tazobactam, imipenem-relebactam, cefiderocol).</w:t>
      </w:r>
    </w:p>
    <w:p>
      <w:pPr>
        <w:jc w:val="both"/>
      </w:pPr>
      <w:r>
        <w:rPr>
          <w:rFonts w:ascii="Times New Roman" w:hAnsi="Times New Roman"/>
          <w:b/>
          <w:i w:val="0"/>
          <w:sz w:val="22"/>
        </w:rPr>
        <w:t>Intervención</w:t>
      </w:r>
    </w:p>
    <w:p>
      <w:pPr>
        <w:pStyle w:val="ListBullet"/>
      </w:pPr>
      <w:r>
        <w:rPr>
          <w:rFonts w:ascii="Times New Roman" w:hAnsi="Times New Roman"/>
          <w:b/>
          <w:i w:val="0"/>
          <w:sz w:val="22"/>
        </w:rPr>
        <w:t>route:</w:t>
      </w:r>
      <w:r>
        <w:rPr>
          <w:rFonts w:ascii="Times New Roman" w:hAnsi="Times New Roman"/>
          <w:b w:val="0"/>
          <w:i w:val="0"/>
          <w:sz w:val="22"/>
        </w:rPr>
        <w:t xml:space="preserve"> si hay varias vías, «otra», con la explicación. [IV, inhalada o nebulizada, tópica o local, oral, intravesical, intraarticular, otra, NA]</w:t>
      </w:r>
    </w:p>
    <w:p>
      <w:pPr>
        <w:pStyle w:val="ListBullet"/>
      </w:pPr>
      <w:r>
        <w:rPr>
          <w:rFonts w:ascii="Times New Roman" w:hAnsi="Times New Roman"/>
          <w:b/>
          <w:i w:val="0"/>
          <w:sz w:val="22"/>
        </w:rPr>
        <w:t>modality:</w:t>
      </w:r>
      <w:r>
        <w:rPr>
          <w:rFonts w:ascii="Times New Roman" w:hAnsi="Times New Roman"/>
          <w:b w:val="0"/>
          <w:i w:val="0"/>
          <w:sz w:val="22"/>
        </w:rPr>
        <w:t xml:space="preserve"> [fago en monoterapia, fago con antibiótico, fago con otro, NA]</w:t>
      </w:r>
    </w:p>
    <w:p>
      <w:pPr>
        <w:jc w:val="both"/>
      </w:pPr>
      <w:r>
        <w:rPr>
          <w:rFonts w:ascii="Times New Roman" w:hAnsi="Times New Roman"/>
          <w:b/>
          <w:i w:val="0"/>
          <w:sz w:val="22"/>
        </w:rPr>
        <w:t>Desenlaces.</w:t>
      </w:r>
      <w:r>
        <w:rPr>
          <w:rFonts w:ascii="Times New Roman" w:hAnsi="Times New Roman"/>
          <w:b w:val="0"/>
          <w:i w:val="0"/>
          <w:sz w:val="22"/>
        </w:rPr>
        <w:t xml:space="preserve"> Cada uno lleva numerador y denominador propio, y cada valor es un número, 0 o NA.</w:t>
      </w:r>
    </w:p>
    <w:p>
      <w:pPr>
        <w:pStyle w:val="ListBullet"/>
      </w:pPr>
      <w:r>
        <w:rPr>
          <w:rFonts w:ascii="Times New Roman" w:hAnsi="Times New Roman"/>
          <w:b/>
          <w:i w:val="0"/>
          <w:sz w:val="22"/>
        </w:rPr>
        <w:t>unidad_desenlace:</w:t>
      </w:r>
      <w:r>
        <w:rPr>
          <w:rFonts w:ascii="Times New Roman" w:hAnsi="Times New Roman"/>
          <w:b w:val="0"/>
          <w:i w:val="0"/>
          <w:sz w:val="22"/>
        </w:rPr>
        <w:t xml:space="preserve"> [paciente, curso, infección] (sección 14.2).</w:t>
      </w:r>
    </w:p>
    <w:p>
      <w:pPr>
        <w:pStyle w:val="ListBullet"/>
      </w:pPr>
      <w:r>
        <w:rPr>
          <w:rFonts w:ascii="Times New Roman" w:hAnsi="Times New Roman"/>
          <w:b/>
          <w:i w:val="0"/>
          <w:sz w:val="22"/>
        </w:rPr>
        <w:t>Éxito clínico:</w:t>
      </w:r>
    </w:p>
    <w:p>
      <w:pPr>
        <w:pStyle w:val="ListBullet2"/>
      </w:pPr>
      <w:r>
        <w:rPr>
          <w:rFonts w:ascii="Times New Roman" w:hAnsi="Times New Roman"/>
          <w:b/>
          <w:i w:val="0"/>
          <w:sz w:val="22"/>
        </w:rPr>
        <w:t>clinical_success_n y clinical_success_den:</w:t>
      </w:r>
      <w:r>
        <w:rPr>
          <w:rFonts w:ascii="Times New Roman" w:hAnsi="Times New Roman"/>
          <w:b w:val="0"/>
          <w:i w:val="0"/>
          <w:sz w:val="22"/>
        </w:rPr>
        <w:t xml:space="preserve"> numerador según la definición del autor.</w:t>
      </w:r>
    </w:p>
    <w:p>
      <w:pPr>
        <w:pStyle w:val="ListBullet2"/>
      </w:pPr>
      <w:r>
        <w:rPr>
          <w:rFonts w:ascii="Times New Roman" w:hAnsi="Times New Roman"/>
          <w:b/>
          <w:i w:val="0"/>
          <w:sz w:val="22"/>
        </w:rPr>
        <w:t>clinical_success_definition:</w:t>
      </w:r>
      <w:r>
        <w:rPr>
          <w:rFonts w:ascii="Times New Roman" w:hAnsi="Times New Roman"/>
          <w:b w:val="0"/>
          <w:i w:val="0"/>
          <w:sz w:val="22"/>
        </w:rPr>
        <w:t xml:space="preserve"> la definición literal del autor, o exactamente SIN DEFINICIÓN OPERATIVA. Es definición operativa la que fija qué había que observar, en qué plazo o con qué instrumento para contar a un paciente como éxito clínico. No lo es el juicio del médico sin criterio declarado, ni la definición de un desenlace microbiológico o de un tiempo.</w:t>
      </w:r>
    </w:p>
    <w:p>
      <w:pPr>
        <w:pStyle w:val="ListBullet2"/>
      </w:pPr>
      <w:r>
        <w:rPr>
          <w:rFonts w:ascii="Times New Roman" w:hAnsi="Times New Roman"/>
          <w:b/>
          <w:i w:val="0"/>
          <w:sz w:val="22"/>
        </w:rPr>
        <w:t>definicion_tipo:</w:t>
      </w:r>
      <w:r>
        <w:rPr>
          <w:rFonts w:ascii="Times New Roman" w:hAnsi="Times New Roman"/>
          <w:b w:val="0"/>
          <w:i w:val="0"/>
          <w:sz w:val="22"/>
        </w:rPr>
        <w:t xml:space="preserve"> [en el artículo, por referencia a otra publicación, juicio clínico sin criterio, ninguna]. ‹‹DECISIÓN DE LOS AUTORES: si la definición dada solo por referencia a otra publicación cuenta como definición operativa››</w:t>
      </w:r>
    </w:p>
    <w:p>
      <w:pPr>
        <w:pStyle w:val="ListBullet2"/>
      </w:pPr>
      <w:r>
        <w:rPr>
          <w:rFonts w:ascii="Times New Roman" w:hAnsi="Times New Roman"/>
          <w:b/>
          <w:i w:val="0"/>
          <w:sz w:val="22"/>
        </w:rPr>
        <w:t>metrica_exito:</w:t>
      </w:r>
      <w:r>
        <w:rPr>
          <w:rFonts w:ascii="Times New Roman" w:hAnsi="Times New Roman"/>
          <w:b w:val="0"/>
          <w:i w:val="0"/>
          <w:sz w:val="22"/>
        </w:rPr>
        <w:t xml:space="preserve"> [recuento binario, tiempo, variable continua, no informado]</w:t>
      </w:r>
    </w:p>
    <w:p>
      <w:pPr>
        <w:pStyle w:val="ListBullet2"/>
      </w:pPr>
      <w:r>
        <w:rPr>
          <w:rFonts w:ascii="Times New Roman" w:hAnsi="Times New Roman"/>
          <w:b/>
          <w:i w:val="0"/>
          <w:sz w:val="22"/>
        </w:rPr>
        <w:t>momento_exito_dias:</w:t>
      </w:r>
      <w:r>
        <w:rPr>
          <w:rFonts w:ascii="Times New Roman" w:hAnsi="Times New Roman"/>
          <w:b w:val="0"/>
          <w:i w:val="0"/>
          <w:sz w:val="22"/>
        </w:rPr>
        <w:t xml:space="preserve"> días desde el inicio del fago hasta la última medida del éxito que informe el artículo (sección 16.3).</w:t>
      </w:r>
    </w:p>
    <w:p>
      <w:pPr>
        <w:pStyle w:val="ListBullet"/>
      </w:pPr>
      <w:r>
        <w:rPr>
          <w:rFonts w:ascii="Times New Roman" w:hAnsi="Times New Roman"/>
          <w:b/>
          <w:i w:val="0"/>
          <w:sz w:val="22"/>
        </w:rPr>
        <w:t>Erradicación:</w:t>
      </w:r>
    </w:p>
    <w:p>
      <w:pPr>
        <w:pStyle w:val="ListBullet2"/>
      </w:pPr>
      <w:r>
        <w:rPr>
          <w:rFonts w:ascii="Times New Roman" w:hAnsi="Times New Roman"/>
          <w:b/>
          <w:i w:val="0"/>
          <w:sz w:val="22"/>
        </w:rPr>
        <w:t>eradication_n:</w:t>
      </w:r>
      <w:r>
        <w:rPr>
          <w:rFonts w:ascii="Times New Roman" w:hAnsi="Times New Roman"/>
          <w:b w:val="0"/>
          <w:i w:val="0"/>
          <w:sz w:val="22"/>
        </w:rPr>
        <w:t xml:space="preserve"> cultivo de control negativo para el organismo diana, es decir, el aislado resistente que motivó el tratamiento, no la especie. Del mismo sitio, en el primer cultivo de control posterior al fin de la fagoterapia, del que se anota el día. En terapia supresiva indefinida, el cultivo del cierre del seguimiento. Si el artículo declara el resultado microbiológico, esa declaración manda.</w:t>
      </w:r>
    </w:p>
    <w:p>
      <w:pPr>
        <w:pStyle w:val="ListBullet2"/>
      </w:pPr>
      <w:r>
        <w:rPr>
          <w:rFonts w:ascii="Times New Roman" w:hAnsi="Times New Roman"/>
          <w:b/>
          <w:i w:val="0"/>
          <w:sz w:val="22"/>
        </w:rPr>
        <w:t>eradication_den:</w:t>
      </w:r>
      <w:r>
        <w:rPr>
          <w:rFonts w:ascii="Times New Roman" w:hAnsi="Times New Roman"/>
          <w:b w:val="0"/>
          <w:i w:val="0"/>
          <w:sz w:val="22"/>
        </w:rPr>
        <w:t xml:space="preserve"> pacientes con cultivo de control.</w:t>
      </w:r>
    </w:p>
    <w:p>
      <w:pPr>
        <w:pStyle w:val="ListBullet2"/>
      </w:pPr>
      <w:r>
        <w:rPr>
          <w:rFonts w:ascii="Times New Roman" w:hAnsi="Times New Roman"/>
          <w:b/>
          <w:i w:val="0"/>
          <w:sz w:val="22"/>
        </w:rPr>
        <w:t>eradication_sustained:</w:t>
      </w:r>
      <w:r>
        <w:rPr>
          <w:rFonts w:ascii="Times New Roman" w:hAnsi="Times New Roman"/>
          <w:b w:val="0"/>
          <w:i w:val="0"/>
          <w:sz w:val="22"/>
        </w:rPr>
        <w:t xml:space="preserve"> [sostenida, recaída, no evaluable], según los 30 días siguientes al primer cultivo negativo.</w:t>
      </w:r>
    </w:p>
    <w:p>
      <w:pPr>
        <w:pStyle w:val="ListBullet2"/>
      </w:pPr>
      <w:r>
        <w:rPr>
          <w:rFonts w:ascii="Times New Roman" w:hAnsi="Times New Roman"/>
          <w:b/>
          <w:i w:val="0"/>
          <w:sz w:val="22"/>
        </w:rPr>
        <w:t>Colonización crónica de vía aérea:</w:t>
      </w:r>
      <w:r>
        <w:rPr>
          <w:rFonts w:ascii="Times New Roman" w:hAnsi="Times New Roman"/>
          <w:b w:val="0"/>
          <w:i w:val="0"/>
          <w:sz w:val="22"/>
        </w:rPr>
        <w:t xml:space="preserve"> un solo cultivo negativo se anota NA, salvo que el artículo declare erradicación sostenida con cultivos seriados.</w:t>
      </w:r>
    </w:p>
    <w:p>
      <w:pPr>
        <w:pStyle w:val="ListBullet"/>
      </w:pPr>
      <w:r>
        <w:rPr>
          <w:rFonts w:ascii="Times New Roman" w:hAnsi="Times New Roman"/>
          <w:b/>
          <w:i w:val="0"/>
          <w:sz w:val="22"/>
        </w:rPr>
        <w:t>Eventos adversos (adverse_event_n y adverse_event_den):</w:t>
      </w:r>
      <w:r>
        <w:rPr>
          <w:rFonts w:ascii="Times New Roman" w:hAnsi="Times New Roman"/>
          <w:b w:val="0"/>
          <w:i w:val="0"/>
          <w:sz w:val="22"/>
        </w:rPr>
        <w:t xml:space="preserve"> pacientes con algún evento adverso. Cero notificados es 0, no NA.</w:t>
      </w:r>
    </w:p>
    <w:p>
      <w:pPr>
        <w:pStyle w:val="ListBullet"/>
      </w:pPr>
      <w:r>
        <w:rPr>
          <w:rFonts w:ascii="Times New Roman" w:hAnsi="Times New Roman"/>
          <w:b/>
          <w:i w:val="0"/>
          <w:sz w:val="22"/>
        </w:rPr>
        <w:t>Mortalidad (mortality_n y mortality_den):</w:t>
      </w:r>
      <w:r>
        <w:rPr>
          <w:rFonts w:ascii="Times New Roman" w:hAnsi="Times New Roman"/>
          <w:b w:val="0"/>
          <w:i w:val="0"/>
          <w:sz w:val="22"/>
        </w:rPr>
        <w:t xml:space="preserve"> fallecidos en el seguimiento.</w:t>
      </w:r>
    </w:p>
    <w:p>
      <w:pPr>
        <w:pStyle w:val="ListBullet"/>
      </w:pPr>
      <w:r>
        <w:rPr>
          <w:rFonts w:ascii="Times New Roman" w:hAnsi="Times New Roman"/>
          <w:b/>
          <w:i w:val="0"/>
          <w:sz w:val="22"/>
        </w:rPr>
        <w:t>Emergencia de resistencia al fago (resistance_emergence_n y resistance_emergence_den):</w:t>
      </w:r>
      <w:r>
        <w:rPr>
          <w:rFonts w:ascii="Times New Roman" w:hAnsi="Times New Roman"/>
          <w:b w:val="0"/>
          <w:i w:val="0"/>
          <w:sz w:val="22"/>
        </w:rPr>
        <w:t xml:space="preserve"> pacientes en que aparece durante el tratamiento.</w:t>
      </w:r>
    </w:p>
    <w:p>
      <w:pPr>
        <w:pStyle w:val="ListBullet"/>
      </w:pPr>
      <w:r>
        <w:rPr>
          <w:rFonts w:ascii="Times New Roman" w:hAnsi="Times New Roman"/>
          <w:b/>
          <w:i w:val="0"/>
          <w:sz w:val="22"/>
        </w:rPr>
        <w:t>los_days:</w:t>
      </w:r>
      <w:r>
        <w:rPr>
          <w:rFonts w:ascii="Times New Roman" w:hAnsi="Times New Roman"/>
          <w:b w:val="0"/>
          <w:i w:val="0"/>
          <w:sz w:val="22"/>
        </w:rPr>
        <w:t xml:space="preserve"> días de estancia hospitalaria.</w:t>
      </w:r>
    </w:p>
    <w:p>
      <w:pPr>
        <w:jc w:val="both"/>
      </w:pPr>
      <w:r>
        <w:rPr>
          <w:rFonts w:ascii="Times New Roman" w:hAnsi="Times New Roman"/>
          <w:b/>
          <w:i w:val="0"/>
          <w:sz w:val="22"/>
        </w:rPr>
        <w:t>Pacientes compartidos (sección 14.6).</w:t>
      </w:r>
      <w:r>
        <w:rPr>
          <w:rFonts w:ascii="Times New Roman" w:hAnsi="Times New Roman"/>
          <w:b w:val="0"/>
          <w:i w:val="0"/>
          <w:sz w:val="22"/>
        </w:rPr>
        <w:t xml:space="preserve"> Por cada uno: clave de persona (P-NN), estudios en que aparece, estudio donde se conserva y su desenlace.</w:t>
      </w:r>
    </w:p>
    <w:p>
      <w:pPr>
        <w:jc w:val="both"/>
      </w:pPr>
      <w:r>
        <w:rPr>
          <w:rFonts w:ascii="Times New Roman" w:hAnsi="Times New Roman"/>
          <w:b/>
          <w:i w:val="0"/>
          <w:sz w:val="22"/>
        </w:rPr>
        <w:t>Contexto y trazabilidad</w:t>
      </w:r>
    </w:p>
    <w:p>
      <w:pPr>
        <w:pStyle w:val="ListBullet"/>
      </w:pPr>
      <w:r>
        <w:rPr>
          <w:rFonts w:ascii="Times New Roman" w:hAnsi="Times New Roman"/>
          <w:b/>
          <w:i w:val="0"/>
          <w:sz w:val="22"/>
        </w:rPr>
        <w:t>publication_year</w:t>
      </w:r>
      <w:r>
        <w:rPr>
          <w:rFonts w:ascii="Times New Roman" w:hAnsi="Times New Roman"/>
          <w:b w:val="0"/>
          <w:i w:val="0"/>
          <w:sz w:val="22"/>
        </w:rPr>
        <w:t>.</w:t>
      </w:r>
    </w:p>
    <w:p>
      <w:pPr>
        <w:pStyle w:val="ListBullet"/>
      </w:pPr>
      <w:r>
        <w:rPr>
          <w:rFonts w:ascii="Times New Roman" w:hAnsi="Times New Roman"/>
          <w:b/>
          <w:i w:val="0"/>
          <w:sz w:val="22"/>
        </w:rPr>
        <w:t>geographic_source:</w:t>
      </w:r>
      <w:r>
        <w:rPr>
          <w:rFonts w:ascii="Times New Roman" w:hAnsi="Times New Roman"/>
          <w:b w:val="0"/>
          <w:i w:val="0"/>
          <w:sz w:val="22"/>
        </w:rPr>
        <w:t xml:space="preserve"> país y, si consta, ciudad.</w:t>
      </w:r>
    </w:p>
    <w:p>
      <w:pPr>
        <w:pStyle w:val="ListBullet"/>
      </w:pPr>
      <w:r>
        <w:rPr>
          <w:rFonts w:ascii="Times New Roman" w:hAnsi="Times New Roman"/>
          <w:b/>
          <w:i w:val="0"/>
          <w:sz w:val="22"/>
        </w:rPr>
        <w:t>extraction_citation:</w:t>
      </w:r>
      <w:r>
        <w:rPr>
          <w:rFonts w:ascii="Times New Roman" w:hAnsi="Times New Roman"/>
          <w:b w:val="0"/>
          <w:i w:val="0"/>
          <w:sz w:val="22"/>
        </w:rPr>
        <w:t xml:space="preserve"> página, tabla o figura de cada cifra del brazo.</w:t>
      </w:r>
    </w:p>
    <w:p>
      <w:pPr>
        <w:pStyle w:val="ListBullet"/>
      </w:pPr>
      <w:r>
        <w:rPr>
          <w:rFonts w:ascii="Times New Roman" w:hAnsi="Times New Roman"/>
          <w:b/>
          <w:i w:val="0"/>
          <w:sz w:val="22"/>
        </w:rPr>
        <w:t>extraction_status:</w:t>
      </w:r>
      <w:r>
        <w:rPr>
          <w:rFonts w:ascii="Times New Roman" w:hAnsi="Times New Roman"/>
          <w:b w:val="0"/>
          <w:i w:val="0"/>
          <w:sz w:val="22"/>
        </w:rPr>
        <w:t xml:space="preserve"> [completa, parcial, incompleta]</w:t>
      </w:r>
    </w:p>
    <w:p>
      <w:pPr>
        <w:pStyle w:val="ListBullet"/>
      </w:pPr>
      <w:r>
        <w:rPr>
          <w:rFonts w:ascii="Times New Roman" w:hAnsi="Times New Roman"/>
          <w:b/>
          <w:i w:val="0"/>
          <w:sz w:val="22"/>
        </w:rPr>
        <w:t>incomplete_reason:</w:t>
      </w:r>
      <w:r>
        <w:rPr>
          <w:rFonts w:ascii="Times New Roman" w:hAnsi="Times New Roman"/>
          <w:b w:val="0"/>
          <w:i w:val="0"/>
          <w:sz w:val="22"/>
        </w:rPr>
        <w:t xml:space="preserve"> qué faltó y por qué.</w:t>
      </w:r>
    </w:p>
    <w:p>
      <w:pPr>
        <w:pStyle w:val="Heading2"/>
      </w:pPr>
      <w:r>
        <w:rPr>
          <w:rFonts w:ascii="Times New Roman" w:hAnsi="Times New Roman"/>
          <w:b w:val="0"/>
          <w:i w:val="0"/>
          <w:sz w:val="26"/>
        </w:rPr>
        <w:t>Anexo C. Instrucciones literales al modelo de lenguaje</w:t>
      </w:r>
    </w:p>
    <w:p>
      <w:pPr>
        <w:jc w:val="both"/>
      </w:pPr>
      <w:r>
        <w:rPr>
          <w:rFonts w:ascii="Times New Roman" w:hAnsi="Times New Roman"/>
          <w:b/>
          <w:i w:val="0"/>
          <w:sz w:val="22"/>
        </w:rPr>
        <w:t>Etapa 2 (título).</w:t>
      </w:r>
    </w:p>
    <w:p>
      <w:pPr>
        <w:jc w:val="both"/>
      </w:pPr>
      <w:r>
        <w:rPr>
          <w:rFonts w:ascii="Times New Roman" w:hAnsi="Times New Roman"/>
          <w:b w:val="0"/>
          <w:i w:val="0"/>
          <w:sz w:val="22"/>
        </w:rPr>
        <w:t xml:space="preserve">&gt; Recibes el título de un registro bibliográfico. La revisión incluye estudios con pacientes humanos con infección o colonización crónica por </w:t>
      </w:r>
      <w:r>
        <w:rPr>
          <w:rFonts w:ascii="Times New Roman" w:hAnsi="Times New Roman"/>
          <w:b w:val="0"/>
          <w:i/>
          <w:sz w:val="22"/>
        </w:rPr>
        <w:t>Pseudomonas aeruginosa</w:t>
      </w:r>
      <w:r>
        <w:rPr>
          <w:rFonts w:ascii="Times New Roman" w:hAnsi="Times New Roman"/>
          <w:b w:val="0"/>
          <w:i w:val="0"/>
          <w:sz w:val="22"/>
        </w:rPr>
        <w:t xml:space="preserve"> tratados con bacteriófagos líticos. Responde con un solo valor de esta lista: AVANZA, ORG, REV, SEC, LAB, VET, OFF, PRF. ORG: el título muestra que el estudio trata otro organismo y ningún paciente con </w:t>
      </w:r>
      <w:r>
        <w:rPr>
          <w:rFonts w:ascii="Times New Roman" w:hAnsi="Times New Roman"/>
          <w:b w:val="0"/>
          <w:i/>
          <w:sz w:val="22"/>
        </w:rPr>
        <w:t>P. aeruginosa</w:t>
      </w:r>
      <w:r>
        <w:rPr>
          <w:rFonts w:ascii="Times New Roman" w:hAnsi="Times New Roman"/>
          <w:b w:val="0"/>
          <w:i w:val="0"/>
          <w:sz w:val="22"/>
        </w:rPr>
        <w:t>. REV: revisión narrativa, editorial o comentario sin datos de pacientes propios. SEC: revisión sistemática o de alcance. LAB: laboratorio, preclínico o modelización, incluidos los modelos animales de laboratorio, sin pacientes tratados. VET: animales de granja o de compañía, o aislados veterinarios. OFF: no trata de administrar fagos a pacientes (encuesta, epidemiología, prensa, otra terapia, fago como herramienta de laboratorio). PRF: administración para prevenir una infección a personas sin infección o a portadores no crónicos; si el título menciona también el tratamiento de una infección, responde AVANZA. Si el título no permite decidirlo con seguridad, responde AVANZA. No uses ningún otro código. No excluyas por el idioma ni por el año. Si el título sugiere que se describe al menos un paciente tratado con fagos, responde AVANZA aunque sea una carta, un editorial o una revisión.</w:t>
      </w:r>
    </w:p>
    <w:p>
      <w:pPr>
        <w:jc w:val="both"/>
      </w:pPr>
      <w:r>
        <w:rPr>
          <w:rFonts w:ascii="Times New Roman" w:hAnsi="Times New Roman"/>
          <w:b/>
          <w:i w:val="0"/>
          <w:sz w:val="22"/>
        </w:rPr>
        <w:t>Etapa 3 (resumen).</w:t>
      </w:r>
      <w:r>
        <w:rPr>
          <w:rFonts w:ascii="Times New Roman" w:hAnsi="Times New Roman"/>
          <w:b w:val="0"/>
          <w:i w:val="0"/>
          <w:sz w:val="22"/>
        </w:rPr>
        <w:t xml:space="preserve"> La misma instrucción, con estos cambios:</w:t>
      </w:r>
    </w:p>
    <w:p>
      <w:pPr>
        <w:pStyle w:val="ListBullet"/>
      </w:pPr>
      <w:r>
        <w:rPr>
          <w:rFonts w:ascii="Times New Roman" w:hAnsi="Times New Roman"/>
          <w:b w:val="0"/>
          <w:i w:val="0"/>
          <w:sz w:val="22"/>
        </w:rPr>
        <w:t>recibes el título, el resumen, la revista, el tipo documental y el año;</w:t>
      </w:r>
    </w:p>
    <w:p>
      <w:pPr>
        <w:pStyle w:val="ListBullet"/>
      </w:pPr>
      <w:r>
        <w:rPr>
          <w:rFonts w:ascii="Times New Roman" w:hAnsi="Times New Roman"/>
          <w:b w:val="0"/>
          <w:i w:val="0"/>
          <w:sz w:val="22"/>
        </w:rPr>
        <w:t>si es una ficha de registro de ensayo, recibes el título oficial, el resumen breve, las condiciones, las intervenciones, los criterios de elegibilidad y el diseño;</w:t>
      </w:r>
    </w:p>
    <w:p>
      <w:pPr>
        <w:pStyle w:val="ListBullet"/>
      </w:pPr>
      <w:r>
        <w:rPr>
          <w:rFonts w:ascii="Times New Roman" w:hAnsi="Times New Roman"/>
          <w:b w:val="0"/>
          <w:i w:val="0"/>
          <w:sz w:val="22"/>
        </w:rPr>
        <w:t xml:space="preserve">ORG también cuando el resumen o la ficha muestran que ningún paciente tiene </w:t>
      </w:r>
      <w:r>
        <w:rPr>
          <w:rFonts w:ascii="Times New Roman" w:hAnsi="Times New Roman"/>
          <w:b w:val="0"/>
          <w:i/>
          <w:sz w:val="22"/>
        </w:rPr>
        <w:t>P. aeruginosa</w:t>
      </w:r>
      <w:r>
        <w:rPr>
          <w:rFonts w:ascii="Times New Roman" w:hAnsi="Times New Roman"/>
          <w:b w:val="0"/>
          <w:i w:val="0"/>
          <w:sz w:val="22"/>
        </w:rPr>
        <w:t>;</w:t>
      </w:r>
    </w:p>
    <w:p>
      <w:pPr>
        <w:pStyle w:val="ListBullet"/>
      </w:pPr>
      <w:r>
        <w:rPr>
          <w:rFonts w:ascii="Times New Roman" w:hAnsi="Times New Roman"/>
          <w:b w:val="0"/>
          <w:i w:val="0"/>
          <w:sz w:val="22"/>
        </w:rPr>
        <w:t>PRF se responde AVANZA si el resumen o la ficha mencionan también el tratamiento de una infección;</w:t>
      </w:r>
    </w:p>
    <w:p>
      <w:pPr>
        <w:pStyle w:val="ListBullet"/>
      </w:pPr>
      <w:r>
        <w:rPr>
          <w:rFonts w:ascii="Times New Roman" w:hAnsi="Times New Roman"/>
          <w:b w:val="0"/>
          <w:i w:val="0"/>
          <w:sz w:val="22"/>
        </w:rPr>
        <w:t>el año no se usa para excluir.</w:t>
      </w:r>
    </w:p>
    <w:p>
      <w:pPr>
        <w:jc w:val="both"/>
      </w:pPr>
      <w:r>
        <w:rPr>
          <w:rFonts w:ascii="Times New Roman" w:hAnsi="Times New Roman"/>
          <w:b/>
          <w:i w:val="0"/>
          <w:sz w:val="22"/>
        </w:rPr>
        <w:t>Pre-extracción desde el resumen.</w:t>
      </w:r>
    </w:p>
    <w:p>
      <w:pPr>
        <w:jc w:val="both"/>
      </w:pPr>
      <w:r>
        <w:rPr>
          <w:rFonts w:ascii="Times New Roman" w:hAnsi="Times New Roman"/>
          <w:b w:val="0"/>
          <w:i w:val="0"/>
          <w:sz w:val="22"/>
        </w:rPr>
        <w:t>&gt; Recibes el título y el resumen de un estudio, o los campos de una ficha de registro de ensayo. Para cada variable, contesta solo con lo que el texto dice: no deduzcas lo que no está escrito. study_design: [ensayo aleatorizado, ensayo no aleatorizado, cohorte prospectiva, cohorte retrospectiva, serie de casos, reporte de caso, no declarado]. resistance_class_declarada: [MDR, XDR, PDR, mencionada pero no clasificable, no mencionada]; declara la clase quien escribe MDR, XDR o PDR o sus nombres completos, o da un antibiograma que permite asignarla; «mencionada pero no clasificable» es un término de resistencia que no es ninguno de esos, como «resistente a carbapenémicos». route, pathogen_scope y dtr_status: el valor del anexo B, o «no declarado». n_arm: número de pacientes, o «no declarado». clinical_success_definition: la definición literal si el texto la da, o «no declarada». Marca la fila como PARCIAL.</w:t>
      </w:r>
    </w:p>
    <w:p>
      <w:pPr>
        <w:pStyle w:val="Heading2"/>
      </w:pPr>
      <w:r>
        <w:rPr>
          <w:rFonts w:ascii="Times New Roman" w:hAnsi="Times New Roman"/>
          <w:b w:val="0"/>
          <w:i w:val="0"/>
          <w:sz w:val="26"/>
        </w:rPr>
        <w:t>Anexo D. Conjunto de control positivo</w:t>
      </w:r>
    </w:p>
    <w:p>
      <w:pPr>
        <w:jc w:val="both"/>
      </w:pPr>
      <w:r>
        <w:rPr>
          <w:rFonts w:ascii="Times New Roman" w:hAnsi="Times New Roman"/>
          <w:b w:val="0"/>
          <w:i w:val="0"/>
          <w:sz w:val="22"/>
        </w:rPr>
        <w:t xml:space="preserve">42 estudios fijados el 29 de julio de 2026, antes del cribado piloto (commit 20574ce). Sus identificadores, no los estudios, se corrigieron en la versión generada el 5 de agosto y registrada el 10 de agosto de 2026 (commit 4258270; </w:t>
      </w:r>
      <w:r>
        <w:rPr>
          <w:rFonts w:ascii="Consolas" w:hAnsi="Consolas"/>
          <w:b w:val="0"/>
          <w:i w:val="0"/>
          <w:sz w:val="22"/>
        </w:rPr>
        <w:t>quality_reports/corpus_identifier_index.txt</w:t>
      </w:r>
      <w:r>
        <w:rPr>
          <w:rFonts w:ascii="Times New Roman" w:hAnsi="Times New Roman"/>
          <w:b w:val="0"/>
          <w:i w:val="0"/>
          <w:sz w:val="22"/>
        </w:rPr>
        <w:t>). Se comprueban por DOI, PMID o NCT:</w:t>
      </w:r>
    </w:p>
    <w:p>
      <w:pPr>
        <w:jc w:val="both"/>
      </w:pPr>
      <w:r>
        <w:rPr>
          <w:rFonts w:ascii="Times New Roman" w:hAnsi="Times New Roman"/>
          <w:b w:val="0"/>
          <w:i w:val="0"/>
          <w:sz w:val="22"/>
        </w:rPr>
        <w:t>ArmataAP_PA02; Arya2026_pji; Aslam2019; Aslam2020; Blasco2023; Casazza2025; Cesta2023; Chan2018_omko1; Chan2025; Chen2022_empyema; Chung2026; Denis2026; Duplessis2018; Ferry2021; Ferry2022; Green2023; Hahn2023; Jault2019_PhagoBurn; Jennes2017; Khatami2021; Kohler2023; Law2019; Leitner2021; Leveque2023; Li2023_ILD; Li2025_biliary; Liu2025_perinephric; Maddocks2019; Malhotra2026; Ngauy2026; Onallah2023_PASA16; PardoFreire2025; Pirnay2024; Racenis2022_femur; Racenis2023_LVAD; Ronit2024; Rubalskii2020; Teney2024; Tkhilaishvili2020; Weiner2025_BX004A; Yang2025; Zaldastanishvili2021.</w:t>
      </w:r>
    </w:p>
    <w:p>
      <w:pPr>
        <w:pStyle w:val="Heading2"/>
      </w:pPr>
      <w:r>
        <w:rPr>
          <w:rFonts w:ascii="Times New Roman" w:hAnsi="Times New Roman"/>
          <w:b w:val="0"/>
          <w:i w:val="0"/>
          <w:sz w:val="26"/>
        </w:rPr>
        <w:t>Anexo E. Correspondencia con la plantilla GSRRF de OSF</w:t>
      </w:r>
    </w:p>
    <w:p>
      <w:pPr>
        <w:jc w:val="both"/>
      </w:pPr>
      <w:r>
        <w:rPr>
          <w:rFonts w:ascii="Times New Roman" w:hAnsi="Times New Roman"/>
          <w:b w:val="0"/>
          <w:i w:val="0"/>
          <w:sz w:val="22"/>
        </w:rPr>
        <w:t>| Campo | Sección |</w:t>
      </w:r>
    </w:p>
    <w:p>
      <w:pPr>
        <w:jc w:val="both"/>
      </w:pPr>
      <w:r>
        <w:rPr>
          <w:rFonts w:ascii="Times New Roman" w:hAnsi="Times New Roman"/>
          <w:b w:val="0"/>
          <w:i w:val="0"/>
          <w:sz w:val="22"/>
        </w:rPr>
        <w:t>|---|---|</w:t>
      </w:r>
    </w:p>
    <w:p>
      <w:pPr>
        <w:jc w:val="both"/>
      </w:pPr>
      <w:r>
        <w:rPr>
          <w:rFonts w:ascii="Times New Roman" w:hAnsi="Times New Roman"/>
          <w:b w:val="0"/>
          <w:i w:val="0"/>
          <w:sz w:val="22"/>
        </w:rPr>
        <w:t>| 1 Título | título |</w:t>
      </w:r>
    </w:p>
    <w:p>
      <w:pPr>
        <w:jc w:val="both"/>
      </w:pPr>
      <w:r>
        <w:rPr>
          <w:rFonts w:ascii="Times New Roman" w:hAnsi="Times New Roman"/>
          <w:b w:val="0"/>
          <w:i w:val="0"/>
          <w:sz w:val="22"/>
        </w:rPr>
        <w:t>| 2 Contribuidores | 4 |</w:t>
      </w:r>
    </w:p>
    <w:p>
      <w:pPr>
        <w:jc w:val="both"/>
      </w:pPr>
      <w:r>
        <w:rPr>
          <w:rFonts w:ascii="Times New Roman" w:hAnsi="Times New Roman"/>
          <w:b w:val="0"/>
          <w:i w:val="0"/>
          <w:sz w:val="22"/>
        </w:rPr>
        <w:t>| 3 Materias | palabras clave |</w:t>
      </w:r>
    </w:p>
    <w:p>
      <w:pPr>
        <w:jc w:val="both"/>
      </w:pPr>
      <w:r>
        <w:rPr>
          <w:rFonts w:ascii="Times New Roman" w:hAnsi="Times New Roman"/>
          <w:b w:val="0"/>
          <w:i w:val="0"/>
          <w:sz w:val="22"/>
        </w:rPr>
        <w:t>| 4 Tareas y funciones | 4 y 19 |</w:t>
      </w:r>
    </w:p>
    <w:p>
      <w:pPr>
        <w:jc w:val="both"/>
      </w:pPr>
      <w:r>
        <w:rPr>
          <w:rFonts w:ascii="Times New Roman" w:hAnsi="Times New Roman"/>
          <w:b w:val="0"/>
          <w:i w:val="0"/>
          <w:sz w:val="22"/>
        </w:rPr>
        <w:t>| 5 Tipo de revisión | cabecera |</w:t>
      </w:r>
    </w:p>
    <w:p>
      <w:pPr>
        <w:jc w:val="both"/>
      </w:pPr>
      <w:r>
        <w:rPr>
          <w:rFonts w:ascii="Times New Roman" w:hAnsi="Times New Roman"/>
          <w:b w:val="0"/>
          <w:i w:val="0"/>
          <w:sz w:val="22"/>
        </w:rPr>
        <w:t>| 6 Etapas de la revisión | 17 |</w:t>
      </w:r>
    </w:p>
    <w:p>
      <w:pPr>
        <w:jc w:val="both"/>
      </w:pPr>
      <w:r>
        <w:rPr>
          <w:rFonts w:ascii="Times New Roman" w:hAnsi="Times New Roman"/>
          <w:b w:val="0"/>
          <w:i w:val="0"/>
          <w:sz w:val="22"/>
        </w:rPr>
        <w:t>| 7 Etapa actual | Estado al registrar |</w:t>
      </w:r>
    </w:p>
    <w:p>
      <w:pPr>
        <w:jc w:val="both"/>
      </w:pPr>
      <w:r>
        <w:rPr>
          <w:rFonts w:ascii="Times New Roman" w:hAnsi="Times New Roman"/>
          <w:b w:val="0"/>
          <w:i w:val="0"/>
          <w:sz w:val="22"/>
        </w:rPr>
        <w:t>| 8 Fecha de inicio | Fechas previstas |</w:t>
      </w:r>
    </w:p>
    <w:p>
      <w:pPr>
        <w:jc w:val="both"/>
      </w:pPr>
      <w:r>
        <w:rPr>
          <w:rFonts w:ascii="Times New Roman" w:hAnsi="Times New Roman"/>
          <w:b w:val="0"/>
          <w:i w:val="0"/>
          <w:sz w:val="22"/>
        </w:rPr>
        <w:t>| 9 Fecha de fin | Fechas previstas |</w:t>
      </w:r>
    </w:p>
    <w:p>
      <w:pPr>
        <w:jc w:val="both"/>
      </w:pPr>
      <w:r>
        <w:rPr>
          <w:rFonts w:ascii="Times New Roman" w:hAnsi="Times New Roman"/>
          <w:b w:val="0"/>
          <w:i w:val="0"/>
          <w:sz w:val="22"/>
        </w:rPr>
        <w:t>| 10 Antecedentes | 6 |</w:t>
      </w:r>
    </w:p>
    <w:p>
      <w:pPr>
        <w:jc w:val="both"/>
      </w:pPr>
      <w:r>
        <w:rPr>
          <w:rFonts w:ascii="Times New Roman" w:hAnsi="Times New Roman"/>
          <w:b w:val="0"/>
          <w:i w:val="0"/>
          <w:sz w:val="22"/>
        </w:rPr>
        <w:t>| 11 Preguntas principales | 7 |</w:t>
      </w:r>
    </w:p>
    <w:p>
      <w:pPr>
        <w:jc w:val="both"/>
      </w:pPr>
      <w:r>
        <w:rPr>
          <w:rFonts w:ascii="Times New Roman" w:hAnsi="Times New Roman"/>
          <w:b w:val="0"/>
          <w:i w:val="0"/>
          <w:sz w:val="22"/>
        </w:rPr>
        <w:t>| 12 Preguntas secundarias | 7 |</w:t>
      </w:r>
    </w:p>
    <w:p>
      <w:pPr>
        <w:jc w:val="both"/>
      </w:pPr>
      <w:r>
        <w:rPr>
          <w:rFonts w:ascii="Times New Roman" w:hAnsi="Times New Roman"/>
          <w:b w:val="0"/>
          <w:i w:val="0"/>
          <w:sz w:val="22"/>
        </w:rPr>
        <w:t>| 13 Expectativas | 3.2 |</w:t>
      </w:r>
    </w:p>
    <w:p>
      <w:pPr>
        <w:jc w:val="both"/>
      </w:pPr>
      <w:r>
        <w:rPr>
          <w:rFonts w:ascii="Times New Roman" w:hAnsi="Times New Roman"/>
          <w:b w:val="0"/>
          <w:i w:val="0"/>
          <w:sz w:val="22"/>
        </w:rPr>
        <w:t>| 14 Desenlaces y variables principales | 8.5, 16.1 |</w:t>
      </w:r>
    </w:p>
    <w:p>
      <w:pPr>
        <w:jc w:val="both"/>
      </w:pPr>
      <w:r>
        <w:rPr>
          <w:rFonts w:ascii="Times New Roman" w:hAnsi="Times New Roman"/>
          <w:b w:val="0"/>
          <w:i w:val="0"/>
          <w:sz w:val="22"/>
        </w:rPr>
        <w:t>| 15 Intervención | 8.4 |</w:t>
      </w:r>
    </w:p>
    <w:p>
      <w:pPr>
        <w:jc w:val="both"/>
      </w:pPr>
      <w:r>
        <w:rPr>
          <w:rFonts w:ascii="Times New Roman" w:hAnsi="Times New Roman"/>
          <w:b w:val="0"/>
          <w:i w:val="0"/>
          <w:sz w:val="22"/>
        </w:rPr>
        <w:t>| 16 Variables adicionales | anexo B |</w:t>
      </w:r>
    </w:p>
    <w:p>
      <w:pPr>
        <w:jc w:val="both"/>
      </w:pPr>
      <w:r>
        <w:rPr>
          <w:rFonts w:ascii="Times New Roman" w:hAnsi="Times New Roman"/>
          <w:b w:val="0"/>
          <w:i w:val="0"/>
          <w:sz w:val="22"/>
        </w:rPr>
        <w:t>| 17 Programas | 11 |</w:t>
      </w:r>
    </w:p>
    <w:p>
      <w:pPr>
        <w:jc w:val="both"/>
      </w:pPr>
      <w:r>
        <w:rPr>
          <w:rFonts w:ascii="Times New Roman" w:hAnsi="Times New Roman"/>
          <w:b w:val="0"/>
          <w:i w:val="0"/>
          <w:sz w:val="22"/>
        </w:rPr>
        <w:t>| 18 Financiación | 18 |</w:t>
      </w:r>
    </w:p>
    <w:p>
      <w:pPr>
        <w:jc w:val="both"/>
      </w:pPr>
      <w:r>
        <w:rPr>
          <w:rFonts w:ascii="Times New Roman" w:hAnsi="Times New Roman"/>
          <w:b w:val="0"/>
          <w:i w:val="0"/>
          <w:sz w:val="22"/>
        </w:rPr>
        <w:t>| 19 Conflictos de interés | 18 |</w:t>
      </w:r>
    </w:p>
    <w:p>
      <w:pPr>
        <w:jc w:val="both"/>
      </w:pPr>
      <w:r>
        <w:rPr>
          <w:rFonts w:ascii="Times New Roman" w:hAnsi="Times New Roman"/>
          <w:b w:val="0"/>
          <w:i w:val="0"/>
          <w:sz w:val="22"/>
        </w:rPr>
        <w:t>| 20 Autoría solapada | 4 |</w:t>
      </w:r>
    </w:p>
    <w:p>
      <w:pPr>
        <w:jc w:val="both"/>
      </w:pPr>
      <w:r>
        <w:rPr>
          <w:rFonts w:ascii="Times New Roman" w:hAnsi="Times New Roman"/>
          <w:b w:val="0"/>
          <w:i w:val="0"/>
          <w:sz w:val="22"/>
        </w:rPr>
        <w:t>| 21 Bases de datos | 9 |</w:t>
      </w:r>
    </w:p>
    <w:p>
      <w:pPr>
        <w:jc w:val="both"/>
      </w:pPr>
      <w:r>
        <w:rPr>
          <w:rFonts w:ascii="Times New Roman" w:hAnsi="Times New Roman"/>
          <w:b w:val="0"/>
          <w:i w:val="0"/>
          <w:sz w:val="22"/>
        </w:rPr>
        <w:t>| 22 Interfaces | 9 y anexo A |</w:t>
      </w:r>
    </w:p>
    <w:p>
      <w:pPr>
        <w:jc w:val="both"/>
      </w:pPr>
      <w:r>
        <w:rPr>
          <w:rFonts w:ascii="Times New Roman" w:hAnsi="Times New Roman"/>
          <w:b w:val="0"/>
          <w:i w:val="0"/>
          <w:sz w:val="22"/>
        </w:rPr>
        <w:t>| 23 Literatura gris | 9 (registros de ensayos; no se busca más literatura gris) |</w:t>
      </w:r>
    </w:p>
    <w:p>
      <w:pPr>
        <w:jc w:val="both"/>
      </w:pPr>
      <w:r>
        <w:rPr>
          <w:rFonts w:ascii="Times New Roman" w:hAnsi="Times New Roman"/>
          <w:b w:val="0"/>
          <w:i w:val="0"/>
          <w:sz w:val="22"/>
        </w:rPr>
        <w:t>| 24 Criterios de inclusión y exclusión | 8 |</w:t>
      </w:r>
    </w:p>
    <w:p>
      <w:pPr>
        <w:jc w:val="both"/>
      </w:pPr>
      <w:r>
        <w:rPr>
          <w:rFonts w:ascii="Times New Roman" w:hAnsi="Times New Roman"/>
          <w:b w:val="0"/>
          <w:i w:val="0"/>
          <w:sz w:val="22"/>
        </w:rPr>
        <w:t>| 25 Ecuaciones | anexo A |</w:t>
      </w:r>
    </w:p>
    <w:p>
      <w:pPr>
        <w:jc w:val="both"/>
      </w:pPr>
      <w:r>
        <w:rPr>
          <w:rFonts w:ascii="Times New Roman" w:hAnsi="Times New Roman"/>
          <w:b w:val="0"/>
          <w:i w:val="0"/>
          <w:sz w:val="22"/>
        </w:rPr>
        <w:t>| 26 Validación de la búsqueda | no se valida la sensibilidad de la búsqueda: el conjunto de control (anexo D) se usó para diseñar las ecuaciones y solo acota lo que pierde la selección (3.4 y 12.5); tras deduplicar se comprueba que cada control está en el pozo (17, paso 3) |</w:t>
      </w:r>
    </w:p>
    <w:p>
      <w:pPr>
        <w:jc w:val="both"/>
      </w:pPr>
      <w:r>
        <w:rPr>
          <w:rFonts w:ascii="Times New Roman" w:hAnsi="Times New Roman"/>
          <w:b w:val="0"/>
          <w:i w:val="0"/>
          <w:sz w:val="22"/>
        </w:rPr>
        <w:t>| 27 Otras estrategias de búsqueda | 9 |</w:t>
      </w:r>
    </w:p>
    <w:p>
      <w:pPr>
        <w:jc w:val="both"/>
      </w:pPr>
      <w:r>
        <w:rPr>
          <w:rFonts w:ascii="Times New Roman" w:hAnsi="Times New Roman"/>
          <w:b w:val="0"/>
          <w:i w:val="0"/>
          <w:sz w:val="22"/>
        </w:rPr>
        <w:t>| 28 Contacto con autores | 13 |</w:t>
      </w:r>
    </w:p>
    <w:p>
      <w:pPr>
        <w:jc w:val="both"/>
      </w:pPr>
      <w:r>
        <w:rPr>
          <w:rFonts w:ascii="Times New Roman" w:hAnsi="Times New Roman"/>
          <w:b w:val="0"/>
          <w:i w:val="0"/>
          <w:sz w:val="22"/>
        </w:rPr>
        <w:t>| 29 Resultados del contacto | no aplica al registrar |</w:t>
      </w:r>
    </w:p>
    <w:p>
      <w:pPr>
        <w:jc w:val="both"/>
      </w:pPr>
      <w:r>
        <w:rPr>
          <w:rFonts w:ascii="Times New Roman" w:hAnsi="Times New Roman"/>
          <w:b w:val="0"/>
          <w:i w:val="0"/>
          <w:sz w:val="22"/>
        </w:rPr>
        <w:t>| 30 Caducidad y repetición de la búsqueda | 10 y 17, paso 16 |</w:t>
      </w:r>
    </w:p>
    <w:p>
      <w:pPr>
        <w:jc w:val="both"/>
      </w:pPr>
      <w:r>
        <w:rPr>
          <w:rFonts w:ascii="Times New Roman" w:hAnsi="Times New Roman"/>
          <w:b w:val="0"/>
          <w:i w:val="0"/>
          <w:sz w:val="22"/>
        </w:rPr>
        <w:t>| 31 Justificación de la estrategia | 10 |</w:t>
      </w:r>
    </w:p>
    <w:p>
      <w:pPr>
        <w:jc w:val="both"/>
      </w:pPr>
      <w:r>
        <w:rPr>
          <w:rFonts w:ascii="Times New Roman" w:hAnsi="Times New Roman"/>
          <w:b w:val="0"/>
          <w:i w:val="0"/>
          <w:sz w:val="22"/>
        </w:rPr>
        <w:t>| 32 Otros detalles de la búsqueda | 10 y anexo A |</w:t>
      </w:r>
    </w:p>
    <w:p>
      <w:pPr>
        <w:jc w:val="both"/>
      </w:pPr>
      <w:r>
        <w:rPr>
          <w:rFonts w:ascii="Times New Roman" w:hAnsi="Times New Roman"/>
          <w:b w:val="0"/>
          <w:i w:val="0"/>
          <w:sz w:val="22"/>
        </w:rPr>
        <w:t>| 33 Etapas del cribado | 12.1-12.4: etapa 1, ordenador; etapas 2 y 3, exclusiones emitidas por IA sin supervisión humana registro a registro, y lo que avanza, revisado por un humano; etapa 4, dos humanos independientes |</w:t>
      </w:r>
    </w:p>
    <w:p>
      <w:pPr>
        <w:jc w:val="both"/>
      </w:pPr>
      <w:r>
        <w:rPr>
          <w:rFonts w:ascii="Times New Roman" w:hAnsi="Times New Roman"/>
          <w:b w:val="0"/>
          <w:i w:val="0"/>
          <w:sz w:val="22"/>
        </w:rPr>
        <w:t>| 34 Campos visibles al cribar y enmascaramiento | 12.2 y 3.5; no se enmascaran autores ni revista |</w:t>
      </w:r>
    </w:p>
    <w:p>
      <w:pPr>
        <w:jc w:val="both"/>
      </w:pPr>
      <w:r>
        <w:rPr>
          <w:rFonts w:ascii="Times New Roman" w:hAnsi="Times New Roman"/>
          <w:b w:val="0"/>
          <w:i w:val="0"/>
          <w:sz w:val="22"/>
        </w:rPr>
        <w:t>| 35 Criterios de exclusión usados | 8.8 |</w:t>
      </w:r>
    </w:p>
    <w:p>
      <w:pPr>
        <w:jc w:val="both"/>
      </w:pPr>
      <w:r>
        <w:rPr>
          <w:rFonts w:ascii="Times New Roman" w:hAnsi="Times New Roman"/>
          <w:b w:val="0"/>
          <w:i w:val="0"/>
          <w:sz w:val="22"/>
        </w:rPr>
        <w:t>| 36 Instrucciones del cribado | anexo C |</w:t>
      </w:r>
    </w:p>
    <w:p>
      <w:pPr>
        <w:jc w:val="both"/>
      </w:pPr>
      <w:r>
        <w:rPr>
          <w:rFonts w:ascii="Times New Roman" w:hAnsi="Times New Roman"/>
          <w:b w:val="0"/>
          <w:i w:val="0"/>
          <w:sz w:val="22"/>
        </w:rPr>
        <w:t>| 37 Fiabilidad del cribado | 12.4, 12.6 |</w:t>
      </w:r>
    </w:p>
    <w:p>
      <w:pPr>
        <w:jc w:val="both"/>
      </w:pPr>
      <w:r>
        <w:rPr>
          <w:rFonts w:ascii="Times New Roman" w:hAnsi="Times New Roman"/>
          <w:b w:val="0"/>
          <w:i w:val="0"/>
          <w:sz w:val="22"/>
        </w:rPr>
        <w:t>| 38 Conciliación del cribado | 12.4 y 12.6; las etapas 2 y 3 no tienen conciliación (un solo revisor) |</w:t>
      </w:r>
    </w:p>
    <w:p>
      <w:pPr>
        <w:jc w:val="both"/>
      </w:pPr>
      <w:r>
        <w:rPr>
          <w:rFonts w:ascii="Times New Roman" w:hAnsi="Times New Roman"/>
          <w:b w:val="0"/>
          <w:i w:val="0"/>
          <w:sz w:val="22"/>
        </w:rPr>
        <w:t>| 39 Muestreo y tamaño de muestra | 12.6 |</w:t>
      </w:r>
    </w:p>
    <w:p>
      <w:pPr>
        <w:jc w:val="both"/>
      </w:pPr>
      <w:r>
        <w:rPr>
          <w:rFonts w:ascii="Times New Roman" w:hAnsi="Times New Roman"/>
          <w:b w:val="0"/>
          <w:i w:val="0"/>
          <w:sz w:val="22"/>
        </w:rPr>
        <w:t>| 40 Justificación del procedimiento de cribado | 12.2 y 19; sin justificación más allá de la descripción y de la validación de 12.6 |</w:t>
      </w:r>
    </w:p>
    <w:p>
      <w:pPr>
        <w:jc w:val="both"/>
      </w:pPr>
      <w:r>
        <w:rPr>
          <w:rFonts w:ascii="Times New Roman" w:hAnsi="Times New Roman"/>
          <w:b w:val="0"/>
          <w:i w:val="0"/>
          <w:sz w:val="22"/>
        </w:rPr>
        <w:t>| 41 Gestión y publicación de datos | 11 |</w:t>
      </w:r>
    </w:p>
    <w:p>
      <w:pPr>
        <w:jc w:val="both"/>
      </w:pPr>
      <w:r>
        <w:rPr>
          <w:rFonts w:ascii="Times New Roman" w:hAnsi="Times New Roman"/>
          <w:b w:val="0"/>
          <w:i w:val="0"/>
          <w:sz w:val="22"/>
        </w:rPr>
        <w:t>| 42 Otros detalles del cribado | 12.3 |</w:t>
      </w:r>
    </w:p>
    <w:p>
      <w:pPr>
        <w:jc w:val="both"/>
      </w:pPr>
      <w:r>
        <w:rPr>
          <w:rFonts w:ascii="Times New Roman" w:hAnsi="Times New Roman"/>
          <w:b w:val="0"/>
          <w:i w:val="0"/>
          <w:sz w:val="22"/>
        </w:rPr>
        <w:t>| 43 Entidades que se extraen | anexo B |</w:t>
      </w:r>
    </w:p>
    <w:p>
      <w:pPr>
        <w:jc w:val="both"/>
      </w:pPr>
      <w:r>
        <w:rPr>
          <w:rFonts w:ascii="Times New Roman" w:hAnsi="Times New Roman"/>
          <w:b w:val="0"/>
          <w:i w:val="0"/>
          <w:sz w:val="22"/>
        </w:rPr>
        <w:t>| 44 Etapas de la extracción | 14.2, 14.3, 14.5 |</w:t>
      </w:r>
    </w:p>
    <w:p>
      <w:pPr>
        <w:jc w:val="both"/>
      </w:pPr>
      <w:r>
        <w:rPr>
          <w:rFonts w:ascii="Times New Roman" w:hAnsi="Times New Roman"/>
          <w:b w:val="0"/>
          <w:i w:val="0"/>
          <w:sz w:val="22"/>
        </w:rPr>
        <w:t>| 45 Instrucciones de extracción | anexo B |</w:t>
      </w:r>
    </w:p>
    <w:p>
      <w:pPr>
        <w:jc w:val="both"/>
      </w:pPr>
      <w:r>
        <w:rPr>
          <w:rFonts w:ascii="Times New Roman" w:hAnsi="Times New Roman"/>
          <w:b w:val="0"/>
          <w:i w:val="0"/>
          <w:sz w:val="22"/>
        </w:rPr>
        <w:t>| 46 Enmascaramiento de los extractores | 3.5, 14.3 |</w:t>
      </w:r>
    </w:p>
    <w:p>
      <w:pPr>
        <w:jc w:val="both"/>
      </w:pPr>
      <w:r>
        <w:rPr>
          <w:rFonts w:ascii="Times New Roman" w:hAnsi="Times New Roman"/>
          <w:b w:val="0"/>
          <w:i w:val="0"/>
          <w:sz w:val="22"/>
        </w:rPr>
        <w:t>| 47 Fiabilidad de la extracción | 14.3 |</w:t>
      </w:r>
    </w:p>
    <w:p>
      <w:pPr>
        <w:jc w:val="both"/>
      </w:pPr>
      <w:r>
        <w:rPr>
          <w:rFonts w:ascii="Times New Roman" w:hAnsi="Times New Roman"/>
          <w:b w:val="0"/>
          <w:i w:val="0"/>
          <w:sz w:val="22"/>
        </w:rPr>
        <w:t>| 48 Conciliación de la extracción | 14.3 |</w:t>
      </w:r>
    </w:p>
    <w:p>
      <w:pPr>
        <w:jc w:val="both"/>
      </w:pPr>
      <w:r>
        <w:rPr>
          <w:rFonts w:ascii="Times New Roman" w:hAnsi="Times New Roman"/>
          <w:b w:val="0"/>
          <w:i w:val="0"/>
          <w:sz w:val="22"/>
        </w:rPr>
        <w:t>| 49 Justificación del procedimiento de extracción | 14; sin justificación más allá de la descripción |</w:t>
      </w:r>
    </w:p>
    <w:p>
      <w:pPr>
        <w:jc w:val="both"/>
      </w:pPr>
      <w:r>
        <w:rPr>
          <w:rFonts w:ascii="Times New Roman" w:hAnsi="Times New Roman"/>
          <w:b w:val="0"/>
          <w:i w:val="0"/>
          <w:sz w:val="22"/>
        </w:rPr>
        <w:t>| 50 Gestión y publicación de datos | 11 |</w:t>
      </w:r>
    </w:p>
    <w:p>
      <w:pPr>
        <w:jc w:val="both"/>
      </w:pPr>
      <w:r>
        <w:rPr>
          <w:rFonts w:ascii="Times New Roman" w:hAnsi="Times New Roman"/>
          <w:b w:val="0"/>
          <w:i w:val="0"/>
          <w:sz w:val="22"/>
        </w:rPr>
        <w:t>| 51 Otros detalles de la extracción | 14.6, 14.7 |</w:t>
      </w:r>
    </w:p>
    <w:p>
      <w:pPr>
        <w:jc w:val="both"/>
      </w:pPr>
      <w:r>
        <w:rPr>
          <w:rFonts w:ascii="Times New Roman" w:hAnsi="Times New Roman"/>
          <w:b w:val="0"/>
          <w:i w:val="0"/>
          <w:sz w:val="22"/>
        </w:rPr>
        <w:t>| 52 Transformaciones previstas | 16.3 (logit) |</w:t>
      </w:r>
    </w:p>
    <w:p>
      <w:pPr>
        <w:jc w:val="both"/>
      </w:pPr>
      <w:r>
        <w:rPr>
          <w:rFonts w:ascii="Times New Roman" w:hAnsi="Times New Roman"/>
          <w:b w:val="0"/>
          <w:i w:val="0"/>
          <w:sz w:val="22"/>
        </w:rPr>
        <w:t>| 53 Datos faltantes | 14.4 |</w:t>
      </w:r>
    </w:p>
    <w:p>
      <w:pPr>
        <w:jc w:val="both"/>
      </w:pPr>
      <w:r>
        <w:rPr>
          <w:rFonts w:ascii="Times New Roman" w:hAnsi="Times New Roman"/>
          <w:b w:val="0"/>
          <w:i w:val="0"/>
          <w:sz w:val="22"/>
        </w:rPr>
        <w:t>| 54 Validación de datos | 14.3, 14.5, 14.7 y 16.7 |</w:t>
      </w:r>
    </w:p>
    <w:p>
      <w:pPr>
        <w:jc w:val="both"/>
      </w:pPr>
      <w:r>
        <w:rPr>
          <w:rFonts w:ascii="Times New Roman" w:hAnsi="Times New Roman"/>
          <w:b w:val="0"/>
          <w:i w:val="0"/>
          <w:sz w:val="22"/>
        </w:rPr>
        <w:t>| 55 Evaluación de la calidad | 15 |</w:t>
      </w:r>
    </w:p>
    <w:p>
      <w:pPr>
        <w:jc w:val="both"/>
      </w:pPr>
      <w:r>
        <w:rPr>
          <w:rFonts w:ascii="Times New Roman" w:hAnsi="Times New Roman"/>
          <w:b w:val="0"/>
          <w:i w:val="0"/>
          <w:sz w:val="22"/>
        </w:rPr>
        <w:t>| 56 Plan de síntesis | 16 |</w:t>
      </w:r>
    </w:p>
    <w:p>
      <w:pPr>
        <w:jc w:val="both"/>
      </w:pPr>
      <w:r>
        <w:rPr>
          <w:rFonts w:ascii="Times New Roman" w:hAnsi="Times New Roman"/>
          <w:b w:val="0"/>
          <w:i w:val="0"/>
          <w:sz w:val="22"/>
        </w:rPr>
        <w:t>| 57 Criterios para las conclusiones | 16.4 |</w:t>
      </w:r>
    </w:p>
    <w:p>
      <w:pPr>
        <w:jc w:val="both"/>
      </w:pPr>
      <w:r>
        <w:rPr>
          <w:rFonts w:ascii="Times New Roman" w:hAnsi="Times New Roman"/>
          <w:b w:val="0"/>
          <w:i w:val="0"/>
          <w:sz w:val="22"/>
        </w:rPr>
        <w:t>| 58 Enmascaramiento en la síntesis | 16.7 |</w:t>
      </w:r>
    </w:p>
    <w:p>
      <w:pPr>
        <w:jc w:val="both"/>
      </w:pPr>
      <w:r>
        <w:rPr>
          <w:rFonts w:ascii="Times New Roman" w:hAnsi="Times New Roman"/>
          <w:b w:val="0"/>
          <w:i w:val="0"/>
          <w:sz w:val="22"/>
        </w:rPr>
        <w:t>| 59 Fiabilidad de la síntesis | 16.7 |</w:t>
      </w:r>
    </w:p>
    <w:p>
      <w:pPr>
        <w:jc w:val="both"/>
      </w:pPr>
      <w:r>
        <w:rPr>
          <w:rFonts w:ascii="Times New Roman" w:hAnsi="Times New Roman"/>
          <w:b w:val="0"/>
          <w:i w:val="0"/>
          <w:sz w:val="22"/>
        </w:rPr>
        <w:t>| 60 Conciliación de la síntesis | no aplica: la síntesis la calcula el canal (16.7) |</w:t>
      </w:r>
    </w:p>
    <w:p>
      <w:pPr>
        <w:jc w:val="both"/>
      </w:pPr>
      <w:r>
        <w:rPr>
          <w:rFonts w:ascii="Times New Roman" w:hAnsi="Times New Roman"/>
          <w:b w:val="0"/>
          <w:i w:val="0"/>
          <w:sz w:val="22"/>
        </w:rPr>
        <w:t>| 61 Sesgo de publicación | 16.6 |</w:t>
      </w:r>
    </w:p>
    <w:p>
      <w:pPr>
        <w:jc w:val="both"/>
      </w:pPr>
      <w:r>
        <w:rPr>
          <w:rFonts w:ascii="Times New Roman" w:hAnsi="Times New Roman"/>
          <w:b w:val="0"/>
          <w:i w:val="0"/>
          <w:sz w:val="22"/>
        </w:rPr>
        <w:t>| 62 Análisis de sensibilidad | 16.3 |</w:t>
      </w:r>
    </w:p>
    <w:p>
      <w:pPr>
        <w:jc w:val="both"/>
      </w:pPr>
      <w:r>
        <w:rPr>
          <w:rFonts w:ascii="Times New Roman" w:hAnsi="Times New Roman"/>
          <w:b w:val="0"/>
          <w:i w:val="0"/>
          <w:sz w:val="22"/>
        </w:rPr>
        <w:t>| 63 Justificación del procedimiento de síntesis | 6, 16.3 |</w:t>
      </w:r>
    </w:p>
    <w:p>
      <w:pPr>
        <w:jc w:val="both"/>
      </w:pPr>
      <w:r>
        <w:rPr>
          <w:rFonts w:ascii="Times New Roman" w:hAnsi="Times New Roman"/>
          <w:b w:val="0"/>
          <w:i w:val="0"/>
          <w:sz w:val="22"/>
        </w:rPr>
        <w:t>| 64 Gestión y publicación de los datos de la síntesis | 11 |</w:t>
      </w:r>
    </w:p>
    <w:p>
      <w:pPr>
        <w:jc w:val="both"/>
      </w:pPr>
      <w:r>
        <w:rPr>
          <w:rFonts w:ascii="Times New Roman" w:hAnsi="Times New Roman"/>
          <w:b w:val="0"/>
          <w:i w:val="0"/>
          <w:sz w:val="22"/>
        </w:rPr>
        <w:t>| 65 Otros detalles de la síntesis | 16.5 |</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