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Autoevaluación del manuscrito, redactada por el modelo de lenguaje</w:t>
      </w:r>
    </w:p>
    <w:p>
      <w:r>
        <w:rPr>
          <w:b/>
        </w:rPr>
        <w:t>Autoevaluación redactada por el modelo de lenguaje (Claude Opus 5) a petición de los autores. No es un informe de un editor ni una revisión externa.</w:t>
      </w:r>
    </w:p>
    <w:p>
      <w:r>
        <w:rPr>
          <w:i/>
          <w:sz w:val="19"/>
        </w:rPr>
        <w:t>Estado a 12 de octubre de 2026. Se escribió adoptando el punto de vista de un editor que decide si el manuscrito puede entrar en revisión por pares, pero las valoraciones son del modelo, no de una revista. El modelo hizo buena parte del trabajo que aquí se evalúa —la declaración de uso de inteligencia artificial del manuscrito dice cuál—, de modo que esta autoevaluación no es independiente.</w:t>
      </w:r>
    </w:p>
    <w:p>
      <w:pPr>
        <w:pStyle w:val="Heading1"/>
      </w:pPr>
      <w:r>
        <w:t>Valoración del modelo</w:t>
      </w:r>
    </w:p>
    <w:p>
      <w:r>
        <w:rPr>
          <w:b/>
        </w:rPr>
        <w:t>REVISIÓN MAYOR ANTES DE ENVIAR A PARES.</w:t>
      </w:r>
    </w:p>
    <w:p>
      <w:r>
        <w:t>El trabajo metodológico que sostiene este manuscrito está por encima de lo habitual en el campo, y su hallazgo central es relevante y publicable. La extracción por duplicado está hecha (122 de 124 estudios) y su adjudicación se cerró el 14 de septiembre de 2026: 539 de los 541 desacuerdos están adjudicados; el registro anota la firma de los dos en 14 y un único responsable en 525, y solo esas 14 constan como consenso. Los 2 restantes se cerraron por una regla mecánica, sin firma conjunta, declarada como tal. El veredicto se mantiene por lo que no se arregla cerrando tareas: las decisiones del cribado de títulos y resúmenes las emitió el modelo como revisor único, sin duplicación, con un vocabulario de motivos que no se fijó antes de empezar; ni la extracción ni el riesgo de sesgo acreditan la independencia de sus dos lecturas; las enmiendas de elegibilidad se adoptaron con el cribado terminado, y el protocolo no se registró. El manuscrito lo declara todo. Lo que sigue distingue lo que impide publicar de lo que solo mejora el manuscrito.</w:t>
      </w:r>
    </w:p>
    <w:p>
      <w:pPr>
        <w:pStyle w:val="Heading1"/>
      </w:pPr>
      <w:r>
        <w:t>Lo que el manuscrito hace bien, a juicio del modelo</w:t>
      </w:r>
    </w:p>
    <w:p>
      <w:pPr>
        <w:pStyle w:val="ListBullet"/>
      </w:pPr>
      <w:r>
        <w:t>La búsqueda es amplia: 8 fuentes en dos corrientes —Scopus en dos brazos, 9 consultas en total—, sin restricción de idioma, con literatura regional (BVS y SciELO) y registros de ensayos. Sin restricción de idioma recuperó 34 estudios rusos y 3 ucranianos, la literatura donde se concentran los diseños comparativos; la enmienda de idioma la dejó fuera, y el manuscrito lo declara (§4.2).</w:t>
      </w:r>
    </w:p>
    <w:p>
      <w:pPr>
        <w:pStyle w:val="ListBullet"/>
      </w:pPr>
      <w:r>
        <w:t>La auditoría de controles positivos es infrecuente. Antes del cribado se fijaron 42 estudios conocidos como elegibles, procedentes del metaanálisis exploratorio de julio de 2026, que se hizo con asistencia de modelos de lenguaje; la comprobación automática alcanzaba a los 40 con PMID, y el cribado no perdió ninguno de esos 40 hasta la enmienda de idioma, que excluyó en la etapa de resumen a Ronit 2024. Las ecuaciones de búsqueda se diseñaron para recuperar ese conjunto, así que la auditoría acota lo que pierde la selección, no la sensibilidad de la búsqueda. Hoy siguen en el corpus 35 de los 42 (§2.5 dice cuáles salieron y por qué). Que se declare la regla de exclusión mal calibrada que la auditoría detectó en una ejecución intermedia la hace más creíble, no menos.</w:t>
      </w:r>
    </w:p>
    <w:p>
      <w:pPr>
        <w:pStyle w:val="ListBullet"/>
      </w:pPr>
      <w:r>
        <w:t>El cribado acabó usando un vocabulario cerrado de 6 motivos, y el manuscrito declara que no se fijó antes de empezar (§2.4): las decisiones del primer día de cribado de títulos, el 4 de agosto de 2026, llevan el motivo en texto libre; los códigos, cuya redacción procede de esos textos, se usaron desde el 5 de agosto, y las exclusiones del primer día se asignaron después a un código. Ese mismo 4 de agosto se añadieron, a mitad de lote, las reglas que dejan fuera las endolisinas aisladas, por la intervención, y los informes veterinarios, por la población. Declararlo así es lo correcto; presentarlo como un vocabulario fijado de antemano no lo sería.</w:t>
      </w:r>
    </w:p>
    <w:p>
      <w:pPr>
        <w:pStyle w:val="ListBullet"/>
      </w:pPr>
      <w:r>
        <w:t>La sección 3.6 argumenta explícitamente por qué NO se agrupa. Es lo contrario de lo habitual, y es lo correcto cuando los requisitos del diseño no se cumplen.</w:t>
      </w:r>
    </w:p>
    <w:p>
      <w:pPr>
        <w:pStyle w:val="ListBullet"/>
      </w:pPr>
      <w:r>
        <w:t>La declaración de uso de inteligencia artificial está en la sección Declaraciones del manuscrito y se copia literal en S7. Nombra el modelo y su versión y recorre, fase por fase, lo que hizo. Esta autoevaluación no la resume: remite a ella. Entre lo que declara está la redacción de los borradores de los anexos, y este documento es uno de ellos.</w:t>
      </w:r>
    </w:p>
    <w:p>
      <w:pPr>
        <w:pStyle w:val="ListBullet"/>
      </w:pPr>
      <w:r>
        <w:t>El criterio de idioma no se dio por supuesto. Se tomó del campo de idioma de la fuente y, donde había texto completo, se comprobó sobre él; esa comprobación, que hizo el modelo, destapó 3 informes cuyos metadatos declaraban inglés y cuyo cuerpo está en ruso, que se excluyeron: 2 se vieron en el PDF y 1 solo en la web del editor. El 6 de octubre de 2026 se repitió sobre el cuerpo de los 65 estudios del corpus vigente, y los 65 están en inglés. Los 80 informes del corpus quedan con su clase de evidencia y ninguno sin prueba (S9 y S10).</w:t>
      </w:r>
    </w:p>
    <w:p>
      <w:pPr>
        <w:pStyle w:val="Heading1"/>
      </w:pPr>
      <w:r>
        <w:t>Sobre la restricción de idioma</w:t>
      </w:r>
    </w:p>
    <w:p>
      <w:r>
        <w:t>La revisión restringe la elegibilidad a informes en inglés o español. El criterio se adoptó con el cribado ya cerrado y está declarado como enmienda en §2.9, con su impacto medido. Declarado así es aceptable, pero cabe esperar la objeción que se le va a plantear, y el manuscrito debe seguir respondiéndola con claridad: el propio artículo documenta que los diseños comparativos se concentran en la literatura de Europa del Este, y el criterio deja fuera precisamente esa literatura. La respuesta actual —que la búsqueda sí la recuperó, que la revisión documenta su existencia y su tamaño, y que declara no poder pronunciarse sobre su contenido— es defendible. Debe mantenerse en Discusión y no diluirse.</w:t>
      </w:r>
    </w:p>
    <w:tbl>
      <w:tblPr>
        <w:tblStyle w:val="LightGrid-Accent1"/>
        <w:tblW w:type="auto" w:w="0"/>
        <w:tblLook w:firstColumn="1" w:firstRow="1" w:lastColumn="0" w:lastRow="0" w:noHBand="0" w:noVBand="1" w:val="04A0"/>
      </w:tblPr>
      <w:tblGrid>
        <w:gridCol w:w="2436"/>
        <w:gridCol w:w="2436"/>
        <w:gridCol w:w="2436"/>
        <w:gridCol w:w="2436"/>
      </w:tblGrid>
      <w:tr>
        <w:tc>
          <w:tcPr>
            <w:tcW w:type="dxa" w:w="3061"/>
          </w:tcPr>
          <w:p>
            <w:r/>
            <w:r>
              <w:rPr>
                <w:b/>
                <w:sz w:val="18"/>
              </w:rPr>
              <w:t>Efecto del criterio</w:t>
            </w:r>
          </w:p>
        </w:tc>
        <w:tc>
          <w:tcPr>
            <w:tcW w:type="dxa" w:w="2098"/>
          </w:tcPr>
          <w:p>
            <w:r/>
            <w:r>
              <w:rPr>
                <w:b/>
                <w:sz w:val="18"/>
              </w:rPr>
              <w:t>Antes de la enmienda</w:t>
            </w:r>
          </w:p>
        </w:tc>
        <w:tc>
          <w:tcPr>
            <w:tcW w:type="dxa" w:w="2098"/>
          </w:tcPr>
          <w:p>
            <w:r/>
            <w:r>
              <w:rPr>
                <w:b/>
                <w:sz w:val="18"/>
              </w:rPr>
              <w:t>Después de la enmienda</w:t>
            </w:r>
          </w:p>
        </w:tc>
        <w:tc>
          <w:tcPr>
            <w:tcW w:type="dxa" w:w="2098"/>
          </w:tcPr>
          <w:p>
            <w:r/>
            <w:r>
              <w:rPr>
                <w:b/>
                <w:sz w:val="18"/>
              </w:rPr>
              <w:t>Corpus vigente</w:t>
            </w:r>
          </w:p>
        </w:tc>
      </w:tr>
      <w:tr>
        <w:tc>
          <w:tcPr>
            <w:tcW w:type="dxa" w:w="3061"/>
          </w:tcPr>
          <w:p>
            <w:r/>
            <w:r>
              <w:rPr>
                <w:sz w:val="18"/>
              </w:rPr>
              <w:t>Estudios</w:t>
            </w:r>
          </w:p>
        </w:tc>
        <w:tc>
          <w:tcPr>
            <w:tcW w:type="dxa" w:w="2098"/>
          </w:tcPr>
          <w:p>
            <w:r/>
            <w:r>
              <w:rPr>
                <w:sz w:val="18"/>
              </w:rPr>
              <w:t>218</w:t>
            </w:r>
          </w:p>
        </w:tc>
        <w:tc>
          <w:tcPr>
            <w:tcW w:type="dxa" w:w="2098"/>
          </w:tcPr>
          <w:p>
            <w:r/>
            <w:r>
              <w:rPr>
                <w:sz w:val="18"/>
              </w:rPr>
              <w:t>183</w:t>
            </w:r>
          </w:p>
        </w:tc>
        <w:tc>
          <w:tcPr>
            <w:tcW w:type="dxa" w:w="2098"/>
          </w:tcPr>
          <w:p>
            <w:r/>
            <w:r>
              <w:rPr>
                <w:sz w:val="18"/>
              </w:rPr>
              <w:t>65</w:t>
            </w:r>
          </w:p>
        </w:tc>
      </w:tr>
      <w:tr>
        <w:tc>
          <w:tcPr>
            <w:tcW w:type="dxa" w:w="3061"/>
          </w:tcPr>
          <w:p>
            <w:r/>
            <w:r>
              <w:rPr>
                <w:sz w:val="18"/>
              </w:rPr>
              <w:t>Con publicación recuperable</w:t>
            </w:r>
          </w:p>
        </w:tc>
        <w:tc>
          <w:tcPr>
            <w:tcW w:type="dxa" w:w="2098"/>
          </w:tcPr>
          <w:p>
            <w:r/>
            <w:r>
              <w:rPr>
                <w:sz w:val="18"/>
              </w:rPr>
              <w:t>159</w:t>
            </w:r>
          </w:p>
        </w:tc>
        <w:tc>
          <w:tcPr>
            <w:tcW w:type="dxa" w:w="2098"/>
          </w:tcPr>
          <w:p>
            <w:r/>
            <w:r>
              <w:rPr>
                <w:sz w:val="18"/>
              </w:rPr>
              <w:t>124</w:t>
            </w:r>
          </w:p>
        </w:tc>
        <w:tc>
          <w:tcPr>
            <w:tcW w:type="dxa" w:w="2098"/>
          </w:tcPr>
          <w:p>
            <w:r/>
            <w:r>
              <w:rPr>
                <w:sz w:val="18"/>
              </w:rPr>
              <w:t>65</w:t>
            </w:r>
          </w:p>
        </w:tc>
      </w:tr>
      <w:tr>
        <w:tc>
          <w:tcPr>
            <w:tcW w:type="dxa" w:w="3061"/>
          </w:tcPr>
          <w:p>
            <w:r/>
            <w:r>
              <w:rPr>
                <w:sz w:val="18"/>
              </w:rPr>
              <w:t>Diseños comparativos</w:t>
            </w:r>
          </w:p>
        </w:tc>
        <w:tc>
          <w:tcPr>
            <w:tcW w:type="dxa" w:w="2098"/>
          </w:tcPr>
          <w:p>
            <w:r/>
            <w:r>
              <w:rPr>
                <w:sz w:val="18"/>
              </w:rPr>
              <w:t>41</w:t>
            </w:r>
          </w:p>
        </w:tc>
        <w:tc>
          <w:tcPr>
            <w:tcW w:type="dxa" w:w="2098"/>
          </w:tcPr>
          <w:p>
            <w:r/>
            <w:r>
              <w:rPr>
                <w:sz w:val="18"/>
              </w:rPr>
              <w:t>23</w:t>
            </w:r>
          </w:p>
        </w:tc>
        <w:tc>
          <w:tcPr>
            <w:tcW w:type="dxa" w:w="2098"/>
          </w:tcPr>
          <w:p>
            <w:r/>
            <w:r>
              <w:rPr>
                <w:sz w:val="18"/>
              </w:rPr>
              <w:t>2</w:t>
            </w:r>
          </w:p>
        </w:tc>
      </w:tr>
      <w:tr>
        <w:tc>
          <w:tcPr>
            <w:tcW w:type="dxa" w:w="3061"/>
          </w:tcPr>
          <w:p>
            <w:r/>
            <w:r>
              <w:rPr>
                <w:sz w:val="18"/>
              </w:rPr>
              <w:t>Ensayos aleatorizados</w:t>
            </w:r>
          </w:p>
        </w:tc>
        <w:tc>
          <w:tcPr>
            <w:tcW w:type="dxa" w:w="2098"/>
          </w:tcPr>
          <w:p>
            <w:r/>
            <w:r>
              <w:rPr>
                <w:sz w:val="18"/>
              </w:rPr>
              <w:t>21</w:t>
            </w:r>
          </w:p>
        </w:tc>
        <w:tc>
          <w:tcPr>
            <w:tcW w:type="dxa" w:w="2098"/>
          </w:tcPr>
          <w:p>
            <w:r/>
            <w:r>
              <w:rPr>
                <w:sz w:val="18"/>
              </w:rPr>
              <w:t>16</w:t>
            </w:r>
          </w:p>
        </w:tc>
        <w:tc>
          <w:tcPr>
            <w:tcW w:type="dxa" w:w="2098"/>
          </w:tcPr>
          <w:p>
            <w:r/>
            <w:r>
              <w:rPr>
                <w:sz w:val="18"/>
              </w:rPr>
              <w:t>2</w:t>
            </w:r>
          </w:p>
        </w:tc>
      </w:tr>
    </w:tbl>
    <w:p/>
    <w:p>
      <w:r>
        <w:rPr>
          <w:i/>
          <w:color w:val="444444"/>
          <w:sz w:val="17"/>
        </w:rPr>
        <w:t>«Después de la enmienda» es el corpus el día en que se adoptó. El corpus vigente recoge además lo que salió al releer los textos completos y con la segunda enmienda (solo estudios con el artículo completo), que no es efecto del idioma. La procedencia rusa pasó de 34 estudios antes de la enmienda a 1 en el corpus vigente, sobre todo por este criterio. De los 35 informes que excluyó, 3 se detectaron solo al comprobar el texto completo: sus metadatos declaraban inglés y el cuerpo está en ruso. Se pierde además Ronit 2024, del conjunto de control positivo.</w:t>
      </w:r>
    </w:p>
    <w:p>
      <w:pPr>
        <w:pStyle w:val="Heading1"/>
      </w:pPr>
      <w:r>
        <w:t>Condiciones para publicar: las que bloquean y las ya resueltas</w:t>
      </w:r>
    </w:p>
    <w:tbl>
      <w:tblPr>
        <w:tblStyle w:val="LightGrid-Accent1"/>
        <w:tblW w:type="auto" w:w="0"/>
        <w:tblLook w:firstColumn="1" w:firstRow="1" w:lastColumn="0" w:lastRow="0" w:noHBand="0" w:noVBand="1" w:val="04A0"/>
      </w:tblPr>
      <w:tblGrid>
        <w:gridCol w:w="2436"/>
        <w:gridCol w:w="2436"/>
        <w:gridCol w:w="2436"/>
        <w:gridCol w:w="2436"/>
      </w:tblGrid>
      <w:tr>
        <w:tc>
          <w:tcPr>
            <w:tcW w:type="dxa" w:w="680"/>
          </w:tcPr>
          <w:p>
            <w:r/>
            <w:r>
              <w:rPr>
                <w:b/>
                <w:sz w:val="18"/>
              </w:rPr>
              <w:t>#</w:t>
            </w:r>
          </w:p>
        </w:tc>
        <w:tc>
          <w:tcPr>
            <w:tcW w:type="dxa" w:w="2608"/>
          </w:tcPr>
          <w:p>
            <w:r/>
            <w:r>
              <w:rPr>
                <w:b/>
                <w:sz w:val="18"/>
              </w:rPr>
              <w:t>Qué falta</w:t>
            </w:r>
          </w:p>
        </w:tc>
        <w:tc>
          <w:tcPr>
            <w:tcW w:type="dxa" w:w="3628"/>
          </w:tcPr>
          <w:p>
            <w:r/>
            <w:r>
              <w:rPr>
                <w:b/>
                <w:sz w:val="18"/>
              </w:rPr>
              <w:t>Por qué bloquea</w:t>
            </w:r>
          </w:p>
        </w:tc>
        <w:tc>
          <w:tcPr>
            <w:tcW w:type="dxa" w:w="2494"/>
          </w:tcPr>
          <w:p>
            <w:r/>
            <w:r>
              <w:rPr>
                <w:b/>
                <w:sz w:val="18"/>
              </w:rPr>
              <w:t>Quién lo resuelve</w:t>
            </w:r>
          </w:p>
        </w:tc>
      </w:tr>
      <w:tr>
        <w:tc>
          <w:tcPr>
            <w:tcW w:type="dxa" w:w="680"/>
          </w:tcPr>
          <w:p>
            <w:r/>
            <w:r>
              <w:rPr>
                <w:sz w:val="18"/>
              </w:rPr>
              <w:t>B1</w:t>
            </w:r>
          </w:p>
        </w:tc>
        <w:tc>
          <w:tcPr>
            <w:tcW w:type="dxa" w:w="2608"/>
          </w:tcPr>
          <w:p>
            <w:r/>
            <w:r>
              <w:rPr>
                <w:sz w:val="18"/>
              </w:rPr>
              <w:t>Adjudicación de los desacuerdos de la extracción</w:t>
            </w:r>
          </w:p>
        </w:tc>
        <w:tc>
          <w:tcPr>
            <w:tcW w:type="dxa" w:w="3628"/>
          </w:tcPr>
          <w:p>
            <w:r/>
            <w:r>
              <w:rPr>
                <w:sz w:val="18"/>
              </w:rPr>
              <w:t>RESUELTO el 14 de septiembre de 2026. Extracción por duplicado completa (122 de 124 estudios, 98 %; los 65 del corpus vigente la tienen) y 539 de 541 desacuerdos adjudicados: el registro anota la firma de los dos en 14 y un único responsable en 525 (D.V. en 293, N.T. en 232); solo esas 14 constan como consenso. Los 2 restantes se cerraron por una regla mecánica, sin firma conjunta, y se declaran como tal. Sin independencia acreditada: la columna de texto libre «¿Dónde viste estos datos?» coincide carácter por carácter entre los dos cuadernos en 107 de 107 filas. La fila se conserva porque era el reparo principal y el lector tiene que poder ver qué cayó y qué no.</w:t>
            </w:r>
          </w:p>
        </w:tc>
        <w:tc>
          <w:tcPr>
            <w:tcW w:type="dxa" w:w="2494"/>
          </w:tcPr>
          <w:p>
            <w:r/>
            <w:r>
              <w:rPr>
                <w:sz w:val="18"/>
              </w:rPr>
              <w:t>Adjudicado según el registro: D.V. (293), N.T. (232), los dos (14); 2 por regla</w:t>
            </w:r>
          </w:p>
        </w:tc>
      </w:tr>
      <w:tr>
        <w:tc>
          <w:tcPr>
            <w:tcW w:type="dxa" w:w="680"/>
          </w:tcPr>
          <w:p>
            <w:r/>
            <w:r>
              <w:rPr>
                <w:sz w:val="18"/>
              </w:rPr>
              <w:t>B2</w:t>
            </w:r>
          </w:p>
        </w:tc>
        <w:tc>
          <w:tcPr>
            <w:tcW w:type="dxa" w:w="2608"/>
          </w:tcPr>
          <w:p>
            <w:r/>
            <w:r>
              <w:rPr>
                <w:sz w:val="18"/>
              </w:rPr>
              <w:t>Registro del protocolo</w:t>
            </w:r>
          </w:p>
        </w:tc>
        <w:tc>
          <w:tcPr>
            <w:tcW w:type="dxa" w:w="3628"/>
          </w:tcPr>
          <w:p>
            <w:r/>
            <w:r>
              <w:rPr>
                <w:sz w:val="18"/>
              </w:rPr>
              <w:t>La revisión no se registró ni depositó un protocolo previo, y el manuscrito lo declara (§2.1), que es la vía honesta. PROSPERO ya no es una opción: no admite revisiones con la extracción hecha. Muchas revistas devuelven sin revisar un manuscrito sin registro; aquí la ausencia no tiene arreglo y solo cabe declararla.</w:t>
            </w:r>
          </w:p>
        </w:tc>
        <w:tc>
          <w:tcPr>
            <w:tcW w:type="dxa" w:w="2494"/>
          </w:tcPr>
          <w:p>
            <w:r/>
            <w:r>
              <w:rPr>
                <w:sz w:val="18"/>
              </w:rPr>
              <w:t>Sin arreglo retroactivo; declarado</w:t>
            </w:r>
          </w:p>
        </w:tc>
      </w:tr>
      <w:tr>
        <w:tc>
          <w:tcPr>
            <w:tcW w:type="dxa" w:w="680"/>
          </w:tcPr>
          <w:p>
            <w:r/>
            <w:r>
              <w:rPr>
                <w:sz w:val="18"/>
              </w:rPr>
              <w:t>B3</w:t>
            </w:r>
          </w:p>
        </w:tc>
        <w:tc>
          <w:tcPr>
            <w:tcW w:type="dxa" w:w="2608"/>
          </w:tcPr>
          <w:p>
            <w:r/>
            <w:r>
              <w:rPr>
                <w:sz w:val="18"/>
              </w:rPr>
              <w:t>Recuperación del texto completo</w:t>
            </w:r>
          </w:p>
        </w:tc>
        <w:tc>
          <w:tcPr>
            <w:tcW w:type="dxa" w:w="3628"/>
          </w:tcPr>
          <w:p>
            <w:r/>
            <w:r>
              <w:rPr>
                <w:sz w:val="18"/>
              </w:rPr>
              <w:t>RESUELTO POR CONSTRUCCIÓN, NO POR RECUPERACIÓN. Desde el 6 de octubre de 2026 solo entran estudios con el PDF del artículo completo (segunda enmienda, códigos NOREC y NOPDF), así que la recuperación es del 100,0 % (65 de 65) por definición: lo que faltaba no se recuperó, se excluyó. Justo antes del criterio el texto completo cubría 65 de 86 estudios con artículo o resumen (75,6 %). El sesgo no desaparece, cambia de sitio: contando las dos fechas, el criterio se lleva 7 de los 9 diseños comparativos y 5 de los 7 ensayos aleatorizados, y el manuscrito lo declara como efecto del criterio (§2.9 y Tabla 3).</w:t>
            </w:r>
          </w:p>
        </w:tc>
        <w:tc>
          <w:tcPr>
            <w:tcW w:type="dxa" w:w="2494"/>
          </w:tcPr>
          <w:p>
            <w:r/>
            <w:r>
              <w:rPr>
                <w:sz w:val="18"/>
              </w:rPr>
              <w:t>Firmado según el registro por los dos autores, el 6 de octubre de 2026 (63 NOPDF y 3 NOREC); D.V. solo, el 2 de septiembre de 2026 (1 NOREC)</w:t>
            </w:r>
          </w:p>
        </w:tc>
      </w:tr>
      <w:tr>
        <w:tc>
          <w:tcPr>
            <w:tcW w:type="dxa" w:w="680"/>
          </w:tcPr>
          <w:p>
            <w:r/>
            <w:r>
              <w:rPr>
                <w:sz w:val="18"/>
              </w:rPr>
              <w:t>B4</w:t>
            </w:r>
          </w:p>
        </w:tc>
        <w:tc>
          <w:tcPr>
            <w:tcW w:type="dxa" w:w="2608"/>
          </w:tcPr>
          <w:p>
            <w:r/>
            <w:r>
              <w:rPr>
                <w:sz w:val="18"/>
              </w:rPr>
              <w:t>Evaluación del riesgo de sesgo</w:t>
            </w:r>
          </w:p>
        </w:tc>
        <w:tc>
          <w:tcPr>
            <w:tcW w:type="dxa" w:w="3628"/>
          </w:tcPr>
          <w:p>
            <w:r/>
            <w:r>
              <w:rPr>
                <w:sz w:val="18"/>
              </w:rPr>
              <w:t>RESUELTO. Evaluado en los 9 estudios comparativos evaluables (2 con RoB 2 y 7 con ROBINS-I): 68 juicios, todos con las dos firmas en S18, firmados entre el 9 y el 22 de septiembre de 2026. Sin independencia acreditada: hubo dos cuadernos, uno a nombre de cada autor, pero compartían 7 418 caracteres de notas y el registro del 5 de septiembre de 2026 concluye que uno salió del otro. Se declaró evaluación por consenso, sobre un cuaderno que generó el modelo con los juicios coincidentes precargados y los discrepantes en blanco. Concordancia de 49 en 60 juicios (81,7 %; kappa 0,74), que no mide dos evaluaciones independientes; los 11 desacuerdos se resolvieron todos hacia el cuaderno de D.V. GRADE no se aplica: no hay estimador agrupado cuya certeza calificar.</w:t>
            </w:r>
          </w:p>
        </w:tc>
        <w:tc>
          <w:tcPr>
            <w:tcW w:type="dxa" w:w="2494"/>
          </w:tcPr>
          <w:p>
            <w:r/>
            <w:r>
              <w:rPr>
                <w:sz w:val="18"/>
              </w:rPr>
              <w:t>Los dos autores (firmado)</w:t>
            </w:r>
          </w:p>
        </w:tc>
      </w:tr>
      <w:tr>
        <w:tc>
          <w:tcPr>
            <w:tcW w:type="dxa" w:w="680"/>
          </w:tcPr>
          <w:p>
            <w:r/>
            <w:r>
              <w:rPr>
                <w:sz w:val="18"/>
              </w:rPr>
              <w:t>B5</w:t>
            </w:r>
          </w:p>
        </w:tc>
        <w:tc>
          <w:tcPr>
            <w:tcW w:type="dxa" w:w="2608"/>
          </w:tcPr>
          <w:p>
            <w:r/>
            <w:r>
              <w:rPr>
                <w:sz w:val="18"/>
              </w:rPr>
              <w:t>Formularios ICMJE de conflicto de interés</w:t>
            </w:r>
          </w:p>
        </w:tc>
        <w:tc>
          <w:tcPr>
            <w:tcW w:type="dxa" w:w="3628"/>
          </w:tcPr>
          <w:p>
            <w:r/>
            <w:r>
              <w:rPr>
                <w:sz w:val="18"/>
              </w:rPr>
              <w:t>Uno firmado por autor. Requisito administrativo sin excepción.</w:t>
            </w:r>
          </w:p>
        </w:tc>
        <w:tc>
          <w:tcPr>
            <w:tcW w:type="dxa" w:w="2494"/>
          </w:tcPr>
          <w:p>
            <w:r/>
            <w:r>
              <w:rPr>
                <w:sz w:val="18"/>
              </w:rPr>
              <w:t>Cada autor</w:t>
            </w:r>
          </w:p>
        </w:tc>
      </w:tr>
      <w:tr>
        <w:tc>
          <w:tcPr>
            <w:tcW w:type="dxa" w:w="680"/>
          </w:tcPr>
          <w:p>
            <w:r/>
            <w:r>
              <w:rPr>
                <w:sz w:val="18"/>
              </w:rPr>
              <w:t>B6</w:t>
            </w:r>
          </w:p>
        </w:tc>
        <w:tc>
          <w:tcPr>
            <w:tcW w:type="dxa" w:w="2608"/>
          </w:tcPr>
          <w:p>
            <w:r/>
            <w:r>
              <w:rPr>
                <w:sz w:val="18"/>
              </w:rPr>
              <w:t>Contribución de N.T. y aprobación de la versión final</w:t>
            </w:r>
          </w:p>
        </w:tc>
        <w:tc>
          <w:tcPr>
            <w:tcW w:type="dxa" w:w="3628"/>
          </w:tcPr>
          <w:p>
            <w:r/>
            <w:r>
              <w:rPr>
                <w:sz w:val="18"/>
              </w:rPr>
              <w:t>El CRediT está en el manuscrito, pero la parte de N.T. lleva un marcador hasta que conste por escrito, y N.T. no ha aprobado ni revisado por escrito la versión final. Sin esa aprobación no se cumplen los criterios de autoría del ICMJE.</w:t>
            </w:r>
          </w:p>
        </w:tc>
        <w:tc>
          <w:tcPr>
            <w:tcW w:type="dxa" w:w="2494"/>
          </w:tcPr>
          <w:p>
            <w:r/>
            <w:r>
              <w:rPr>
                <w:sz w:val="18"/>
              </w:rPr>
              <w:t>N.T., por escrito</w:t>
            </w:r>
          </w:p>
        </w:tc>
      </w:tr>
    </w:tbl>
    <w:p/>
    <w:p>
      <w:pPr>
        <w:pStyle w:val="Heading1"/>
      </w:pPr>
      <w:r>
        <w:t>Observaciones que mejoran el manuscrito (no bloquean)</w:t>
      </w:r>
    </w:p>
    <w:p>
      <w:pPr>
        <w:pStyle w:val="ListBullet"/>
      </w:pPr>
      <w:r>
        <w:t>El título se revisó dos veces el 14 de septiembre de 2026. Partía de «revisión sistemática de la estructura y la verificabilidad del cuerpo de evidencia clínica». Primero se acortó adoptando la fórmula «revisión sistemática de la literatura» que usa la revista de destino. Después se sustituyó «verificabilidad» por «completitud del reporte» —«reporting completeness»—, y quedó en 148 caracteres en castellano y 150 en inglés. Dos pérdidas conscientes, y las dos se declaran aquí. La primera: el título ya no nombra la estructura, que es la otra mitad de la pregunta de investigación; esa pregunta no se tocó y sigue formulada sobre las tres propiedades. La segunda: «completitud del reporte» nombra dos de los tres componentes medidos y deja fuera la recuperabilidad del informe, que se sigue nombrando en el cuerpo. Se prefirió un título que dice menos a uno que dice otra cosa. Sobre el término adoptado conviene adelantar una respuesta: buena parte de la literatura que se titula «reporting completeness» puntúa adherencia a una guía —CONSORT, CARE, STROBE—, y esta revisión no aplicó ninguna: contó presencia y ausencia de variables y de numerador y denominador, no adherencia normativa.</w:t>
      </w:r>
    </w:p>
    <w:p>
      <w:pPr>
        <w:pStyle w:val="ListBullet"/>
      </w:pPr>
      <w:r>
        <w:t>El resumen tiene 292 palabras en la versión española y 302 en la inglesa, y pasa del límite habitual de 250: hay que recortarlo, o comprobar que la revista de destino admite más.</w:t>
      </w:r>
    </w:p>
    <w:p>
      <w:pPr>
        <w:pStyle w:val="ListBullet"/>
      </w:pPr>
      <w:r>
        <w:t>Falta un párrafo sobre por qué se excluyeron las endolisinas. La decisión es defendible y está en Métodos (§2.2; §2.4 declara que la regla se añadió a mitad de lote el 4 de agosto de 2026), pero merece una frase en Discusión, porque hay literatura que las cuenta como fagoterapia.</w:t>
      </w:r>
    </w:p>
    <w:p>
      <w:pPr>
        <w:pStyle w:val="ListBullet"/>
      </w:pPr>
      <w:r>
        <w:t>Declarar en Métodos qué se hará si un estudio aparece publicado entre la búsqueda y el envío.</w:t>
      </w:r>
    </w:p>
    <w:p>
      <w:pPr>
        <w:pStyle w:val="Heading1"/>
      </w:pPr>
      <w:r>
        <w:t>Sobre la vía de publicación</w:t>
      </w:r>
    </w:p>
    <w:p>
      <w:r>
        <w:t>La disyuntiva que planteaba esta sección cuando la extracción estaba sin adjudicar ya no existe. El manuscrito se envía como revisión sistemática de la estructura del cuerpo de evidencia, de su recuperabilidad y de la completitud de su reporte, con la completitud por desenlace (§3.5) y el riesgo de sesgo de los comparativos (§3.7), y sin estimaciones de eficacia. GRADE no se aplica: no hay un estimador agrupado cuya certeza calificar. Publicar proporciones agrupadas sigue descartado: los datos no lo sostienen, la sección 3.6 explica por qué, y hacerlo sería reproducir el defecto que este trabajo denuncia.</w:t>
      </w:r>
    </w:p>
    <w:p>
      <w:r>
        <w:rPr>
          <w:i/>
          <w:color w:val="444444"/>
          <w:sz w:val="17"/>
        </w:rPr>
        <w:t>Que un cuerpo de evidencia no admita la síntesis que se le viene aplicando es un resultado por derecho propio, y el manuscrito lo sostiene con datos y no con opinión.</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sz w:val="16"/>
      </w:rPr>
      <w:t>Autoevaluación redactada por el modelo de lenguaje (Claude Opus 5) a petición de los autores. No es un informe de un editor ni una revisión externa.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