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12 de octubre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S2. No hay fecha de ejecución por fuente. Las ejecuciones documentadas son del 3 y el 4 de agosto de 2026, y la exportación de BVS se incorporó al corpus el 10 de agosto; la ejecución de Scopus cuya exportación entró al corpus no tiene fecha registrada (el fichero de su brazo B se terminó de escribir el 5 de agosto)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deterministas, y las decisiones registro a registro de las etapas 2 y 3 las emitió un modelo de lenguaje (Claude Opus 5) como revisor único, sin duplicación. El vocabulario de motivos no se fijó antes de empezar: el 4 de agosto de 2026 (primer día de cribado de títulos) el modelo escribió los motivos en texto libre, y los códigos, cuya redacción procede de esos textos, se usaron desde el 5 de agosto de 2026; no consta que los autores los fijaran antes. Ese primer día se añadieron además, a mitad de lote, dos reglas que concretan los criterios: endolisinas aisladas fuera (intervención) e informes veterinarios fuera (población). D.V. fue el único revisor humano. Según declara D.V. (8 de octubre de 2026), examinó uno a uno los informes que superaron el cribado; ese examen no quedó registrado. Lo que el modelo excluyó no lo releyó ningún humano, salvo la muestra de 350 del recribado (S19). Declarado en §2.4 y como primera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(122 de 124 estudios), con la concordancia medida antes de resolver y 539 de 541 desacuerdos adjudicados; el registro anota a los dos revisores en 14 y a uno solo en 525, y 2 se cerraron por una regla mecánica sin firma conjunta. La independencia de las dos extracciones no está acreditada: la columna de texto libre que localiza cada dato coincide entre los dos cuadernos en 107 de 107 filas, erratas incluidas.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9 de los 9 estudios con diseño comparativo adjudicado sobre el artículo (RoB 2 en los aleatorizados, ROBINS-I en los no aleatorizados y las cohortes), a nivel de dominio. Se declaró evaluación por consenso. Hubo dos cuadernos, uno a nombre de cada autor, sin independencia acreditada: compartían 7 418 caracteres de notas idénticas, y el registro del 5 de septiembre de 2026 concluye que un cuaderno salió del otro. El canal que escribió el modelo de lenguaje generó el cuaderno de consenso con los juicios coincidentes precargados y los discrepantes en blanco; lo firmaron los dos autores el 9 de septiembre de 2026, y los 11 desacuerdos se resolvieron hacia el cuaderno de D.V. La concordancia (49 de 60 juicios, kappa 0,74) no mide dos evaluaciones independientes. Los reportes y series de casos no se evalúan con instrumento formal, por decisión: §2.7 dice por qué.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que 42 de los 128 estudios que llegaron al criterio del texto completo eran solo fichas de registro, sin publicación localizable; el criterio los saca del corpus, no del campo.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118 estudios que el cribado había admitido se excluyeron en la fase de texto completo, cada uno con su código de motivo. 63 (NOPDF) y 4 (NOREC) se excluyeron porque no se consiguió o no se pudo leer el artículo, no porque se haya comprobado que incumplen los criterios, y no llevan cita; otros 4 llevan solo el motivo. Los 47 restantes llevan la frase del texto leído (artículo o ficha de registro) que sostiene la exclusión, salvo EST-205 (REV), decidido sobre la indexación de SciELO sin leer el texto. Las firmaron los dos autores salvo 2, que firmó D.V. solo (EST-118 y EST-205). El modelo leyó los textos completos y propuso, con su cita, las exclusiones que se apoyan en ellos. S3 recoge además los motivos de las etapas 2 y 3 tal como se escribieron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68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(enmiendas declaradas)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Todas posteriores al cribado y declaradas (§2.9 y §3.1.1): la restricción de idioma a inglés y español (11-08-2026), con su impacto medido: 35 estudios eliminados, 18 de ellos comparativos y 1 del conjunto de control positivo; NOREC, adoptado el 02-09-2026 para 1 estudio y aplicado el 06-10-2026 a 3 más, y ampliado ese mismo día a NOPDF, que excluye todo estudio sin el artículo completo (63 estudios); NOORG (14-09-2026, fichas de registro que no declaran el organismo; 7 estudios), y los códigos IDI, PRO e INT, añadidos después del vocabulario original.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21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APLICA: 3 ítems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