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S7. Declaraciones y requisitos del ICMJE</w:t>
      </w:r>
    </w:p>
    <w:p>
      <w:r>
        <w:rPr>
          <w:i/>
          <w:sz w:val="19"/>
        </w:rPr>
        <w:t>Documento de acompañamiento al envío.</w:t>
      </w:r>
    </w:p>
    <w:p>
      <w:pPr>
        <w:pStyle w:val="Heading2"/>
      </w:pPr>
      <w:r>
        <w:t>Financiación</w:t>
      </w:r>
    </w:p>
    <w:p>
      <w:r>
        <w:t>Esta revisión no recibió financiación específica de agencias públicas, comerciales o sin ánimo de lucro.</w:t>
      </w:r>
    </w:p>
    <w:p>
      <w:pPr>
        <w:pStyle w:val="Heading2"/>
      </w:pPr>
      <w:r>
        <w:t>Conflictos de interés</w:t>
      </w:r>
    </w:p>
    <w:p>
      <w:r>
        <w:t>Los autores declaran no tener conflictos de interés. Cada autor debe adjuntar además el formulario ICMJE Disclosure of Interest firmado.</w:t>
      </w:r>
    </w:p>
    <w:p>
      <w:pPr>
        <w:pStyle w:val="Heading2"/>
      </w:pPr>
      <w:r>
        <w:t>Contribución de los autores (CRediT)</w:t>
      </w:r>
    </w:p>
    <w:p>
      <w:r>
        <w:t>D. Valdiviezo: conceptualización, metodología, investigación (diseño de las búsquedas con la participación del modelo de lenguaje y, según declara, su ejecución en cada interfaz; extracción de datos; riesgo de sesgo), dirección del software, la curación de datos, el análisis y la visualización, que programó y ejecutó el modelo de lenguaje, revisión de los borradores, que redactó el modelo, y administración del proyecto. N. Trelles: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pStyle w:val="Heading2"/>
      </w:pPr>
      <w:r>
        <w:t>Registro del protocolo</w:t>
      </w:r>
    </w:p>
    <w:p>
      <w:r>
        <w:t>PENDIENTE. La revisión no está registrada en PROSPERO ni en OSF. El manuscrito declara la ausencia de forma explícita en §2.1. Si se registra antes del envío, debe sustituirse esa declaración por el número de registro; no debe declararse un registro retrospectivo como si fuera prospectivo.</w:t>
      </w:r>
    </w:p>
    <w:p>
      <w:pPr>
        <w:pStyle w:val="Heading2"/>
      </w:pPr>
      <w:r>
        <w:t>Disponibilidad de datos y código</w:t>
      </w:r>
    </w:p>
    <w:p>
      <w:r>
        <w:t>El corpus de cribado, los registros de decisión completos, el formulario de extracción y todo el código del canal están disponibles en el repositorio del proyecto. Los registros de decisión son solo-anexar y conservan cada corrección junto con la decisión original.</w:t>
      </w:r>
    </w:p>
    <w:p>
      <w:pPr>
        <w:pStyle w:val="Heading2"/>
      </w:pPr>
      <w:r>
        <w:t>Uso de inteligencia artificial</w:t>
      </w:r>
    </w:p>
    <w:p>
      <w:r>
        <w:t>Un modelo de lenguaje generativo (Claude Opus 5, Anthropic) intervino en todas las fases de esta revisión. Cribado.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Búsqueda.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Selección y extracción. Localizó y descargó textos completos, también con un navegador; propuso la agrupación de los informes en estudios; leyó los textos completos y propuso, con su cita, las exclusiones,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redactó las reglas de desenlace, que según declara D.V. decidieron los dos autores, aunque el registro del 12 de agosto de 2026 las dejó como propuesta sin ratificar; y detectó y leyó primero los pares de estudios que podían compartir pacientes, antes de la relectura de los autores. Riesgo de sesgo. Puso en cada casilla de los formularios, como comentario, las frases del artículo que localizó de forma automática para cada dominio, y generó el cuaderno de consenso con los juicios coincidentes precargados. Canal y redacción. Escribió y ejecutó todo el código del canal, del que sale cada cifra, tabla y figura, y redactó los borradores del manuscrito, de los anexos y de la carta de presentación. La extracción de datos y los juicios de riesgo de sesgo los emitieron los autores, aunque sin independencia acreditada entre sus dos lecturas (secciones 2.6 y 2.7).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2"/>
      </w:pPr>
      <w:r>
        <w:t>Ética y consentimiento</w:t>
      </w:r>
    </w:p>
    <w:p>
      <w:r>
        <w:t>No aplica: la revisión se basa en literatura publicada y en registros públicos de ensayos, sin datos individuales de pacientes.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